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A" w:rsidRPr="00DE490A" w:rsidRDefault="00DE490A" w:rsidP="00DE490A">
      <w:pPr>
        <w:numPr>
          <w:ilvl w:val="0"/>
          <w:numId w:val="1"/>
        </w:numPr>
        <w:spacing w:after="55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color w:val="4E4E4E"/>
          <w:sz w:val="13"/>
          <w:szCs w:val="13"/>
        </w:rPr>
        <w:t>Benn, H. (2009). The environmental determinants of health.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Global Health Promotion March, 16(1, Supp),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42–43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.</w:t>
      </w:r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: Centers for Disease Control and Prevention (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n.d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.).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The Social-Ecological Model: A Framework for Prevention.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Retrieved from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5" w:history="1">
        <w:r w:rsidRPr="00DE490A">
          <w:rPr>
            <w:rFonts w:ascii="Arial" w:eastAsia="Times New Roman" w:hAnsi="Arial" w:cs="Arial"/>
            <w:color w:val="0092DE"/>
            <w:sz w:val="13"/>
          </w:rPr>
          <w:t>http://www.cdc.gov/ViolencePrevention/overview/social-ecologicalmodel.html</w:t>
        </w:r>
      </w:hyperlink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: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Koh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, H. (2011). The ultimate measures of health.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Public Health Reports, 126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(3), 14–15. Retrieved from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6" w:history="1">
        <w:r w:rsidRPr="00DE490A">
          <w:rPr>
            <w:rFonts w:ascii="Arial" w:eastAsia="Times New Roman" w:hAnsi="Arial" w:cs="Arial"/>
            <w:color w:val="0092DE"/>
            <w:sz w:val="13"/>
          </w:rPr>
          <w:t>http://www.publichealthreports.org/issueopen.cfm?articleID=2720</w:t>
        </w:r>
      </w:hyperlink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: Murphy, S. L,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Jiaquan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, X., &amp;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Kochanek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, M. A. (2012). Deaths: Preliminary Data for 2010.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National Vital Statistics Report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,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60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(4), 5–10. Retrieved from: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7" w:history="1">
        <w:r w:rsidRPr="00DE490A">
          <w:rPr>
            <w:rFonts w:ascii="Arial" w:eastAsia="Times New Roman" w:hAnsi="Arial" w:cs="Arial"/>
            <w:color w:val="0092DE"/>
            <w:sz w:val="13"/>
          </w:rPr>
          <w:t>http://www.cdc.gov/nchs/data/nvsr/nvsr60/nvsr60_04.pdf</w:t>
        </w:r>
      </w:hyperlink>
    </w:p>
    <w:p w:rsidR="00DE490A" w:rsidRPr="00DE490A" w:rsidRDefault="00DE490A" w:rsidP="00DE490A">
      <w:pPr>
        <w:numPr>
          <w:ilvl w:val="0"/>
          <w:numId w:val="1"/>
        </w:numPr>
        <w:spacing w:after="55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: Navarro, V. (2009). What we mean by social determinants of health.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Global Health Promotion, 16(1),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5–16.</w:t>
      </w:r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: U.S. Department of Health &amp; Human Services (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n.d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.).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Determinants of Health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. Retrieved from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8" w:history="1">
        <w:r w:rsidRPr="00DE490A">
          <w:rPr>
            <w:rFonts w:ascii="Arial" w:eastAsia="Times New Roman" w:hAnsi="Arial" w:cs="Arial"/>
            <w:color w:val="0092DE"/>
            <w:sz w:val="13"/>
          </w:rPr>
          <w:t>http://www.healthypeople.gov/2020/about/DOHAbout.aspx</w:t>
        </w:r>
      </w:hyperlink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: U.S. Department of Health and Human Services. (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n.d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.).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Healthy People 2020 topics and objectives: Social determinants of health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. Retrieved from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9" w:history="1">
        <w:r w:rsidRPr="00DE490A">
          <w:rPr>
            <w:rFonts w:ascii="Arial" w:eastAsia="Times New Roman" w:hAnsi="Arial" w:cs="Arial"/>
            <w:color w:val="0092DE"/>
            <w:sz w:val="13"/>
          </w:rPr>
          <w:t>http://www.healthypeople.gov/2020/topicsobjectives2020/overview.aspx?topicid=39</w:t>
        </w:r>
      </w:hyperlink>
    </w:p>
    <w:p w:rsidR="00DE490A" w:rsidRPr="00DE490A" w:rsidRDefault="00DE490A" w:rsidP="00DE490A">
      <w:pPr>
        <w:numPr>
          <w:ilvl w:val="0"/>
          <w:numId w:val="1"/>
        </w:numPr>
        <w:spacing w:after="55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Article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: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Weyers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, S.,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Dragano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, N., Richter, M., &amp;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Bosma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 xml:space="preserve">, H. (2010). How does socio economic position link to health </w:t>
      </w:r>
      <w:proofErr w:type="spellStart"/>
      <w:r w:rsidRPr="00DE490A">
        <w:rPr>
          <w:rFonts w:ascii="Arial" w:eastAsia="Times New Roman" w:hAnsi="Arial" w:cs="Arial"/>
          <w:color w:val="4E4E4E"/>
          <w:sz w:val="13"/>
          <w:szCs w:val="13"/>
        </w:rPr>
        <w:t>behaviour</w:t>
      </w:r>
      <w:proofErr w:type="spellEnd"/>
      <w:r w:rsidRPr="00DE490A">
        <w:rPr>
          <w:rFonts w:ascii="Arial" w:eastAsia="Times New Roman" w:hAnsi="Arial" w:cs="Arial"/>
          <w:color w:val="4E4E4E"/>
          <w:sz w:val="13"/>
          <w:szCs w:val="13"/>
        </w:rPr>
        <w:t>? Sociological pathways and perspectives for health promotion.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r w:rsidRPr="00DE490A">
        <w:rPr>
          <w:rFonts w:ascii="Arial" w:eastAsia="Times New Roman" w:hAnsi="Arial" w:cs="Arial"/>
          <w:i/>
          <w:iCs/>
          <w:color w:val="4E4E4E"/>
          <w:sz w:val="13"/>
        </w:rPr>
        <w:t>Global Health Promotion, 17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(2), 25–33.</w:t>
      </w:r>
    </w:p>
    <w:p w:rsidR="00DE490A" w:rsidRPr="00DE490A" w:rsidRDefault="00DE490A" w:rsidP="00DE490A">
      <w:pPr>
        <w:numPr>
          <w:ilvl w:val="0"/>
          <w:numId w:val="1"/>
        </w:numPr>
        <w:spacing w:after="0" w:line="196" w:lineRule="atLeast"/>
        <w:ind w:left="480"/>
        <w:rPr>
          <w:rFonts w:ascii="Arial" w:eastAsia="Times New Roman" w:hAnsi="Arial" w:cs="Arial"/>
          <w:color w:val="4E4E4E"/>
          <w:sz w:val="13"/>
          <w:szCs w:val="13"/>
        </w:rPr>
      </w:pPr>
      <w:r w:rsidRPr="00DE490A">
        <w:rPr>
          <w:rFonts w:ascii="Arial" w:eastAsia="Times New Roman" w:hAnsi="Arial" w:cs="Arial"/>
          <w:b/>
          <w:bCs/>
          <w:color w:val="4E4E4E"/>
          <w:sz w:val="13"/>
        </w:rPr>
        <w:t>Data Set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: Centers for Disease Control and Prevention (CDC): National Center for Health Statistics (2009).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proofErr w:type="spellStart"/>
      <w:r w:rsidRPr="00DE490A">
        <w:rPr>
          <w:rFonts w:ascii="Arial" w:eastAsia="Times New Roman" w:hAnsi="Arial" w:cs="Arial"/>
          <w:i/>
          <w:iCs/>
          <w:color w:val="4E4E4E"/>
          <w:sz w:val="13"/>
        </w:rPr>
        <w:t>FastStats</w:t>
      </w:r>
      <w:proofErr w:type="spellEnd"/>
      <w:r w:rsidRPr="00DE490A">
        <w:rPr>
          <w:rFonts w:ascii="Arial" w:eastAsia="Times New Roman" w:hAnsi="Arial" w:cs="Arial"/>
          <w:i/>
          <w:iCs/>
          <w:color w:val="4E4E4E"/>
          <w:sz w:val="13"/>
        </w:rPr>
        <w:t>: Leading Causes of Death</w:t>
      </w:r>
      <w:r w:rsidRPr="00DE490A">
        <w:rPr>
          <w:rFonts w:ascii="Arial" w:eastAsia="Times New Roman" w:hAnsi="Arial" w:cs="Arial"/>
          <w:color w:val="4E4E4E"/>
          <w:sz w:val="13"/>
          <w:szCs w:val="13"/>
        </w:rPr>
        <w:t>. Retrieved from</w:t>
      </w:r>
      <w:r w:rsidRPr="00DE490A">
        <w:rPr>
          <w:rFonts w:ascii="Arial" w:eastAsia="Times New Roman" w:hAnsi="Arial" w:cs="Arial"/>
          <w:color w:val="4E4E4E"/>
          <w:sz w:val="13"/>
        </w:rPr>
        <w:t> </w:t>
      </w:r>
      <w:hyperlink r:id="rId10" w:history="1">
        <w:r w:rsidRPr="00DE490A">
          <w:rPr>
            <w:rFonts w:ascii="Arial" w:eastAsia="Times New Roman" w:hAnsi="Arial" w:cs="Arial"/>
            <w:color w:val="0092DE"/>
            <w:sz w:val="13"/>
            <w:u w:val="single"/>
          </w:rPr>
          <w:t>http://www.cdc.gov/nchs/fastats/lcod.htm</w:t>
        </w:r>
      </w:hyperlink>
    </w:p>
    <w:p w:rsidR="000B65F7" w:rsidRPr="00DE490A" w:rsidRDefault="00DE490A" w:rsidP="00DE490A"/>
    <w:sectPr w:rsidR="000B65F7" w:rsidRPr="00DE490A" w:rsidSect="0090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4C93"/>
    <w:multiLevelType w:val="multilevel"/>
    <w:tmpl w:val="E24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05C1"/>
    <w:rsid w:val="0000247B"/>
    <w:rsid w:val="00092443"/>
    <w:rsid w:val="000F12AA"/>
    <w:rsid w:val="001D0CC0"/>
    <w:rsid w:val="002E4903"/>
    <w:rsid w:val="005E243F"/>
    <w:rsid w:val="0063304D"/>
    <w:rsid w:val="009064AC"/>
    <w:rsid w:val="0099530A"/>
    <w:rsid w:val="00A82BB4"/>
    <w:rsid w:val="00B350CC"/>
    <w:rsid w:val="00B771A0"/>
    <w:rsid w:val="00BB4FC0"/>
    <w:rsid w:val="00DE490A"/>
    <w:rsid w:val="00EC5917"/>
    <w:rsid w:val="00F305C1"/>
    <w:rsid w:val="00F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C"/>
  </w:style>
  <w:style w:type="paragraph" w:styleId="Heading1">
    <w:name w:val="heading 1"/>
    <w:basedOn w:val="Normal"/>
    <w:link w:val="Heading1Char"/>
    <w:uiPriority w:val="9"/>
    <w:qFormat/>
    <w:rsid w:val="005E2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5C1"/>
    <w:rPr>
      <w:b/>
      <w:bCs/>
    </w:rPr>
  </w:style>
  <w:style w:type="paragraph" w:styleId="NormalWeb">
    <w:name w:val="Normal (Web)"/>
    <w:basedOn w:val="Normal"/>
    <w:uiPriority w:val="99"/>
    <w:unhideWhenUsed/>
    <w:rsid w:val="00F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5C1"/>
  </w:style>
  <w:style w:type="character" w:styleId="Hyperlink">
    <w:name w:val="Hyperlink"/>
    <w:basedOn w:val="DefaultParagraphFont"/>
    <w:uiPriority w:val="99"/>
    <w:semiHidden/>
    <w:unhideWhenUsed/>
    <w:rsid w:val="00F305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05C1"/>
    <w:rPr>
      <w:i/>
      <w:iCs/>
    </w:rPr>
  </w:style>
  <w:style w:type="paragraph" w:customStyle="1" w:styleId="text">
    <w:name w:val="text"/>
    <w:basedOn w:val="Normal"/>
    <w:rsid w:val="00F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E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slevel1">
    <w:name w:val="assignmentslevel1"/>
    <w:basedOn w:val="Normal"/>
    <w:rsid w:val="00E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EC5917"/>
  </w:style>
  <w:style w:type="paragraph" w:customStyle="1" w:styleId="subtitle">
    <w:name w:val="subtitle"/>
    <w:basedOn w:val="Normal"/>
    <w:rsid w:val="00E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771A0"/>
  </w:style>
  <w:style w:type="character" w:customStyle="1" w:styleId="superscript">
    <w:name w:val="superscript"/>
    <w:basedOn w:val="DefaultParagraphFont"/>
    <w:rsid w:val="00B771A0"/>
  </w:style>
  <w:style w:type="character" w:customStyle="1" w:styleId="underline">
    <w:name w:val="underline"/>
    <w:basedOn w:val="DefaultParagraphFont"/>
    <w:rsid w:val="00B771A0"/>
  </w:style>
  <w:style w:type="character" w:customStyle="1" w:styleId="Heading1Char">
    <w:name w:val="Heading 1 Char"/>
    <w:basedOn w:val="DefaultParagraphFont"/>
    <w:link w:val="Heading1"/>
    <w:uiPriority w:val="9"/>
    <w:rsid w:val="005E2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9200">
          <w:marLeft w:val="327"/>
          <w:marRight w:val="0"/>
          <w:marTop w:val="218"/>
          <w:marBottom w:val="218"/>
          <w:divBdr>
            <w:top w:val="single" w:sz="4" w:space="0" w:color="CBC7BF"/>
            <w:left w:val="single" w:sz="4" w:space="7" w:color="CBC7BF"/>
            <w:bottom w:val="single" w:sz="4" w:space="8" w:color="CBC7BF"/>
            <w:right w:val="single" w:sz="4" w:space="7" w:color="CBC7BF"/>
          </w:divBdr>
        </w:div>
      </w:divsChild>
    </w:div>
    <w:div w:id="42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975">
          <w:marLeft w:val="0"/>
          <w:marRight w:val="0"/>
          <w:marTop w:val="0"/>
          <w:marBottom w:val="0"/>
          <w:divBdr>
            <w:top w:val="single" w:sz="8" w:space="5" w:color="333333"/>
            <w:left w:val="single" w:sz="8" w:space="5" w:color="333333"/>
            <w:bottom w:val="single" w:sz="8" w:space="5" w:color="333333"/>
            <w:right w:val="single" w:sz="8" w:space="5" w:color="333333"/>
          </w:divBdr>
        </w:div>
      </w:divsChild>
    </w:div>
    <w:div w:id="722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people.gov/2020/about/DOHAbou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nchs/data/nvsr/nvsr60/nvsr60_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healthreports.org/issueopen.cfm?articleID=27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ViolencePrevention/overview/social-ecologicalmodel.html" TargetMode="External"/><Relationship Id="rId10" Type="http://schemas.openxmlformats.org/officeDocument/2006/relationships/hyperlink" Target="http://www.cdc.gov/nchs/fastats/lco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ypeople.gov/2020/topicsobjectives2020/overview.aspx?topic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1</cp:revision>
  <dcterms:created xsi:type="dcterms:W3CDTF">2017-05-01T04:44:00Z</dcterms:created>
  <dcterms:modified xsi:type="dcterms:W3CDTF">2017-05-01T09:15:00Z</dcterms:modified>
</cp:coreProperties>
</file>