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10" w:rsidRPr="00895523" w:rsidRDefault="00791810" w:rsidP="00791810">
      <w:pPr>
        <w:rPr>
          <w:b/>
        </w:rPr>
      </w:pPr>
      <w:r>
        <w:rPr>
          <w:b/>
        </w:rPr>
        <w:t xml:space="preserve">CHAPTER </w:t>
      </w:r>
    </w:p>
    <w:p w:rsidR="00791810" w:rsidRDefault="00791810" w:rsidP="00791810">
      <w:r w:rsidRPr="00791810">
        <w:rPr>
          <w:highlight w:val="yellow"/>
        </w:rPr>
        <w:t>4</w:t>
      </w:r>
      <w:r>
        <w:t>. (Question 4 is composed of two parts.) The DuPont formula defines the net return on shareholder’s equity as a function of the following components:</w:t>
      </w:r>
    </w:p>
    <w:p w:rsidR="00791810" w:rsidRDefault="00791810" w:rsidP="00791810">
      <w:pPr>
        <w:pStyle w:val="ListParagraph"/>
        <w:numPr>
          <w:ilvl w:val="0"/>
          <w:numId w:val="1"/>
        </w:numPr>
      </w:pPr>
      <w:r>
        <w:t>Operating margin</w:t>
      </w:r>
    </w:p>
    <w:p w:rsidR="00791810" w:rsidRDefault="00791810" w:rsidP="00791810">
      <w:pPr>
        <w:pStyle w:val="ListParagraph"/>
        <w:numPr>
          <w:ilvl w:val="0"/>
          <w:numId w:val="1"/>
        </w:numPr>
      </w:pPr>
      <w:r>
        <w:t>Asset turnover</w:t>
      </w:r>
    </w:p>
    <w:p w:rsidR="00791810" w:rsidRDefault="00791810" w:rsidP="00791810">
      <w:pPr>
        <w:pStyle w:val="ListParagraph"/>
        <w:numPr>
          <w:ilvl w:val="0"/>
          <w:numId w:val="1"/>
        </w:numPr>
      </w:pPr>
      <w:r>
        <w:t>Interest burden</w:t>
      </w:r>
    </w:p>
    <w:p w:rsidR="00791810" w:rsidRDefault="00791810" w:rsidP="00791810">
      <w:pPr>
        <w:pStyle w:val="ListParagraph"/>
        <w:numPr>
          <w:ilvl w:val="0"/>
          <w:numId w:val="1"/>
        </w:numPr>
      </w:pPr>
      <w:r>
        <w:t>Financial leverage</w:t>
      </w:r>
    </w:p>
    <w:p w:rsidR="00791810" w:rsidRDefault="00791810" w:rsidP="00791810">
      <w:pPr>
        <w:pStyle w:val="ListParagraph"/>
        <w:numPr>
          <w:ilvl w:val="0"/>
          <w:numId w:val="1"/>
        </w:numPr>
      </w:pPr>
      <w:r>
        <w:t>Income tax rate</w:t>
      </w:r>
    </w:p>
    <w:p w:rsidR="00791810" w:rsidRDefault="00791810" w:rsidP="00791810">
      <w:r>
        <w:t xml:space="preserve">Using </w:t>
      </w:r>
      <w:r w:rsidRPr="00021D15">
        <w:rPr>
          <w:i/>
        </w:rPr>
        <w:t>only</w:t>
      </w:r>
      <w:r>
        <w:t xml:space="preserve"> the data in the following table shown below:</w:t>
      </w:r>
    </w:p>
    <w:p w:rsidR="00791810" w:rsidRDefault="00791810" w:rsidP="00791810">
      <w:pPr>
        <w:pStyle w:val="ListParagraph"/>
        <w:numPr>
          <w:ilvl w:val="0"/>
          <w:numId w:val="2"/>
        </w:numPr>
      </w:pPr>
      <w:r>
        <w:t xml:space="preserve">Calculate </w:t>
      </w:r>
      <w:r w:rsidRPr="00021D15">
        <w:rPr>
          <w:i/>
        </w:rPr>
        <w:t>each</w:t>
      </w:r>
      <w:r>
        <w:t xml:space="preserve"> of the five components listed above for 2010 and 2014, and calculate the return on equity (ROE) for 2010 </w:t>
      </w:r>
      <w:r w:rsidRPr="00021D15">
        <w:rPr>
          <w:i/>
        </w:rPr>
        <w:t xml:space="preserve">and </w:t>
      </w:r>
      <w:r>
        <w:t>2014, using all of the</w:t>
      </w:r>
      <w:r w:rsidRPr="00021D15">
        <w:rPr>
          <w:i/>
        </w:rPr>
        <w:t xml:space="preserve"> five</w:t>
      </w:r>
      <w:r>
        <w:t xml:space="preserve"> components. Show calculations.</w:t>
      </w:r>
    </w:p>
    <w:p w:rsidR="00791810" w:rsidRDefault="00791810" w:rsidP="00791810">
      <w:pPr>
        <w:pStyle w:val="ListParagraph"/>
        <w:numPr>
          <w:ilvl w:val="0"/>
          <w:numId w:val="2"/>
        </w:numPr>
      </w:pPr>
      <w:r>
        <w:t>Briefly discuss the impact of the changes in asset turnover</w:t>
      </w:r>
      <w:r>
        <w:rPr>
          <w:i/>
        </w:rPr>
        <w:t xml:space="preserve"> </w:t>
      </w:r>
      <w:r w:rsidRPr="00021D15">
        <w:rPr>
          <w:i/>
        </w:rPr>
        <w:t>and</w:t>
      </w:r>
      <w:r>
        <w:t xml:space="preserve"> financial leverage on the change in ROE from 2010 to 2014.</w:t>
      </w:r>
    </w:p>
    <w:p w:rsidR="00791810" w:rsidRPr="00897323" w:rsidRDefault="00791810" w:rsidP="00791810">
      <w:pPr>
        <w:rPr>
          <w:b/>
          <w:u w:val="single"/>
        </w:rPr>
      </w:pPr>
      <w:r w:rsidRPr="00897323">
        <w:rPr>
          <w:b/>
          <w:u w:val="single"/>
        </w:rPr>
        <w:t xml:space="preserve">Income Statement Data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897323">
        <w:rPr>
          <w:b/>
          <w:u w:val="single"/>
        </w:rPr>
        <w:t xml:space="preserve">2010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897323">
        <w:rPr>
          <w:b/>
          <w:u w:val="single"/>
        </w:rPr>
        <w:t>2014</w:t>
      </w:r>
    </w:p>
    <w:p w:rsidR="00791810" w:rsidRDefault="00791810" w:rsidP="00791810">
      <w:r>
        <w:t xml:space="preserve">Revenues </w:t>
      </w:r>
      <w:r>
        <w:tab/>
      </w:r>
      <w:r>
        <w:tab/>
      </w:r>
      <w:r>
        <w:tab/>
      </w:r>
      <w:r>
        <w:tab/>
        <w:t>$542</w:t>
      </w:r>
      <w:r>
        <w:tab/>
      </w:r>
      <w:r>
        <w:tab/>
        <w:t xml:space="preserve"> $979</w:t>
      </w:r>
    </w:p>
    <w:p w:rsidR="00791810" w:rsidRDefault="00791810" w:rsidP="00791810">
      <w:r>
        <w:t xml:space="preserve">Operating income </w:t>
      </w:r>
      <w:r>
        <w:tab/>
      </w:r>
      <w:r>
        <w:tab/>
      </w:r>
      <w:r>
        <w:tab/>
        <w:t xml:space="preserve">38 </w:t>
      </w:r>
      <w:r>
        <w:tab/>
      </w:r>
      <w:r>
        <w:tab/>
        <w:t>76</w:t>
      </w:r>
    </w:p>
    <w:p w:rsidR="00791810" w:rsidRDefault="00791810" w:rsidP="00791810">
      <w:r>
        <w:t xml:space="preserve">Depreciation and amortization </w:t>
      </w:r>
      <w:r>
        <w:tab/>
        <w:t xml:space="preserve">3 </w:t>
      </w:r>
      <w:r>
        <w:tab/>
      </w:r>
      <w:r>
        <w:tab/>
        <w:t>9</w:t>
      </w:r>
    </w:p>
    <w:p w:rsidR="00791810" w:rsidRDefault="00791810" w:rsidP="00791810">
      <w:r>
        <w:t xml:space="preserve">Interest expense </w:t>
      </w:r>
      <w:r>
        <w:tab/>
      </w:r>
      <w:r>
        <w:tab/>
      </w:r>
      <w:r>
        <w:tab/>
        <w:t xml:space="preserve">3 </w:t>
      </w:r>
      <w:r>
        <w:tab/>
      </w:r>
      <w:r>
        <w:tab/>
        <w:t>0</w:t>
      </w:r>
    </w:p>
    <w:p w:rsidR="00791810" w:rsidRDefault="00791810" w:rsidP="00791810">
      <w:r>
        <w:t xml:space="preserve">Pretax income </w:t>
      </w:r>
      <w:r>
        <w:tab/>
      </w:r>
      <w:r>
        <w:tab/>
      </w:r>
      <w:r>
        <w:tab/>
        <w:t xml:space="preserve">32 </w:t>
      </w:r>
      <w:r>
        <w:tab/>
      </w:r>
      <w:r>
        <w:tab/>
        <w:t>67</w:t>
      </w:r>
    </w:p>
    <w:p w:rsidR="00791810" w:rsidRDefault="00791810" w:rsidP="00791810">
      <w:r>
        <w:t xml:space="preserve">Income taxes </w:t>
      </w:r>
      <w:r>
        <w:tab/>
      </w:r>
      <w:r>
        <w:tab/>
      </w:r>
      <w:r>
        <w:tab/>
      </w:r>
      <w:r>
        <w:tab/>
        <w:t xml:space="preserve">13 </w:t>
      </w:r>
      <w:r>
        <w:tab/>
      </w:r>
      <w:r>
        <w:tab/>
        <w:t>37</w:t>
      </w:r>
    </w:p>
    <w:p w:rsidR="00791810" w:rsidRDefault="00791810" w:rsidP="00791810">
      <w:r>
        <w:t>Net income after tax 1</w:t>
      </w:r>
      <w:r>
        <w:tab/>
      </w:r>
      <w:r>
        <w:tab/>
        <w:t xml:space="preserve">9 </w:t>
      </w:r>
      <w:r>
        <w:tab/>
      </w:r>
      <w:r>
        <w:tab/>
        <w:t>30</w:t>
      </w:r>
    </w:p>
    <w:p w:rsidR="00791810" w:rsidRPr="00897323" w:rsidRDefault="00791810" w:rsidP="00791810">
      <w:pPr>
        <w:rPr>
          <w:b/>
          <w:u w:val="single"/>
        </w:rPr>
      </w:pPr>
      <w:r w:rsidRPr="00897323">
        <w:rPr>
          <w:b/>
          <w:u w:val="single"/>
        </w:rPr>
        <w:t>Balance Sheet Data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897323">
        <w:rPr>
          <w:b/>
          <w:u w:val="single"/>
        </w:rPr>
        <w:t xml:space="preserve"> 2010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897323">
        <w:rPr>
          <w:b/>
          <w:u w:val="single"/>
        </w:rPr>
        <w:t>2014</w:t>
      </w:r>
    </w:p>
    <w:p w:rsidR="00791810" w:rsidRDefault="00791810" w:rsidP="00791810">
      <w:r>
        <w:t xml:space="preserve">Fixed assets </w:t>
      </w:r>
      <w:r>
        <w:tab/>
      </w:r>
      <w:r>
        <w:tab/>
      </w:r>
      <w:r>
        <w:tab/>
      </w:r>
      <w:r>
        <w:tab/>
        <w:t xml:space="preserve">$41 </w:t>
      </w:r>
      <w:r>
        <w:tab/>
      </w:r>
      <w:r>
        <w:tab/>
        <w:t>$70</w:t>
      </w:r>
    </w:p>
    <w:p w:rsidR="00791810" w:rsidRDefault="00791810" w:rsidP="00791810">
      <w:r>
        <w:t xml:space="preserve">Total assets </w:t>
      </w:r>
      <w:r>
        <w:tab/>
      </w:r>
      <w:r>
        <w:tab/>
      </w:r>
      <w:r>
        <w:tab/>
      </w:r>
      <w:r>
        <w:tab/>
        <w:t xml:space="preserve">245 </w:t>
      </w:r>
      <w:r>
        <w:tab/>
      </w:r>
      <w:r>
        <w:tab/>
        <w:t>291</w:t>
      </w:r>
    </w:p>
    <w:p w:rsidR="00791810" w:rsidRDefault="00791810" w:rsidP="00791810">
      <w:r>
        <w:t xml:space="preserve">Working capital </w:t>
      </w:r>
      <w:r>
        <w:tab/>
      </w:r>
      <w:r>
        <w:tab/>
      </w:r>
      <w:r>
        <w:tab/>
        <w:t xml:space="preserve">123 </w:t>
      </w:r>
      <w:r>
        <w:tab/>
      </w:r>
      <w:r>
        <w:tab/>
        <w:t>157</w:t>
      </w:r>
    </w:p>
    <w:p w:rsidR="00791810" w:rsidRDefault="00791810" w:rsidP="00791810">
      <w:r>
        <w:t xml:space="preserve">Total debt </w:t>
      </w:r>
      <w:r>
        <w:tab/>
      </w:r>
      <w:r>
        <w:tab/>
      </w:r>
      <w:r>
        <w:tab/>
      </w:r>
      <w:r>
        <w:tab/>
        <w:t xml:space="preserve">16 </w:t>
      </w:r>
      <w:r>
        <w:tab/>
      </w:r>
      <w:r>
        <w:tab/>
        <w:t>0</w:t>
      </w:r>
    </w:p>
    <w:p w:rsidR="00791810" w:rsidRDefault="00791810" w:rsidP="00791810">
      <w:r>
        <w:lastRenderedPageBreak/>
        <w:t xml:space="preserve">Total shareholder’s equity </w:t>
      </w:r>
      <w:r>
        <w:tab/>
      </w:r>
      <w:r>
        <w:tab/>
        <w:t xml:space="preserve">159 </w:t>
      </w:r>
      <w:r>
        <w:tab/>
      </w:r>
      <w:r>
        <w:tab/>
        <w:t>220</w:t>
      </w:r>
    </w:p>
    <w:p w:rsidR="00791810" w:rsidRDefault="00791810" w:rsidP="00791810">
      <w:bookmarkStart w:id="0" w:name="_GoBack"/>
      <w:bookmarkEnd w:id="0"/>
    </w:p>
    <w:p w:rsidR="00791810" w:rsidRDefault="00791810" w:rsidP="00791810">
      <w:r w:rsidRPr="00791810">
        <w:rPr>
          <w:highlight w:val="yellow"/>
        </w:rPr>
        <w:t>5.</w:t>
      </w:r>
      <w:r>
        <w:t xml:space="preserve"> David Wright, CFA, an analyst with Blue River Investments, is considering buying a Montrose Cable Company corporate bond. He has collected the following balance sheet and income statement information for Montrose as shown in Exhibit 10.10. He has also calculated the </w:t>
      </w:r>
      <w:r w:rsidRPr="00021D15">
        <w:t xml:space="preserve">three </w:t>
      </w:r>
      <w:r>
        <w:t>ratios shown in Exhibit 10.11, which indicate the bond that is currently rated “A” according to the firm’s internal bond-rating criteria shown in Exhibit 10.13. Wright has decided to consider some off-balance sheet items in his credit analysis, as the off-balance sheet items on each of the ratios found in Exhibit 10.11.</w:t>
      </w:r>
    </w:p>
    <w:p w:rsidR="00791810" w:rsidRDefault="00791810" w:rsidP="00791810">
      <w:pPr>
        <w:pStyle w:val="ListParagraph"/>
        <w:numPr>
          <w:ilvl w:val="0"/>
          <w:numId w:val="4"/>
        </w:numPr>
      </w:pPr>
      <w:r>
        <w:t xml:space="preserve">Calculate the combined effect of the </w:t>
      </w:r>
      <w:r w:rsidRPr="00021D15">
        <w:rPr>
          <w:i/>
        </w:rPr>
        <w:t>three</w:t>
      </w:r>
      <w:r>
        <w:t xml:space="preserve"> off-balance sheet items in Exhibit 10.12 on </w:t>
      </w:r>
      <w:r w:rsidRPr="00021D15">
        <w:rPr>
          <w:i/>
        </w:rPr>
        <w:t>each</w:t>
      </w:r>
      <w:r>
        <w:t xml:space="preserve"> of the following</w:t>
      </w:r>
      <w:r w:rsidRPr="00021D15">
        <w:rPr>
          <w:i/>
        </w:rPr>
        <w:t xml:space="preserve"> three</w:t>
      </w:r>
      <w:r>
        <w:t xml:space="preserve"> financial ratios shown in Exhibit 10.11.</w:t>
      </w:r>
    </w:p>
    <w:p w:rsidR="00791810" w:rsidRDefault="00791810" w:rsidP="00791810">
      <w:pPr>
        <w:ind w:left="720"/>
      </w:pPr>
      <w:proofErr w:type="spellStart"/>
      <w:r>
        <w:t>i</w:t>
      </w:r>
      <w:proofErr w:type="spellEnd"/>
      <w:r>
        <w:t>. EBITDA/interest expense</w:t>
      </w:r>
    </w:p>
    <w:p w:rsidR="00791810" w:rsidRDefault="00791810" w:rsidP="00791810">
      <w:pPr>
        <w:ind w:left="720"/>
      </w:pPr>
      <w:r>
        <w:t>ii. Long/term debt/equity</w:t>
      </w:r>
    </w:p>
    <w:p w:rsidR="00791810" w:rsidRDefault="00791810" w:rsidP="00791810">
      <w:pPr>
        <w:ind w:left="720"/>
      </w:pPr>
      <w:r>
        <w:t>iii. Current assets/current liabilities</w:t>
      </w:r>
    </w:p>
    <w:p w:rsidR="00791810" w:rsidRDefault="00791810" w:rsidP="00791810">
      <w:r>
        <w:t>The bond is currently trading at a credit premium off 55 basis points. Using the internal credit yield premium incorporates the effect of the off-balance sheet items.</w:t>
      </w:r>
    </w:p>
    <w:p w:rsidR="00791810" w:rsidRDefault="00791810" w:rsidP="00791810">
      <w:pPr>
        <w:pStyle w:val="ListParagraph"/>
        <w:numPr>
          <w:ilvl w:val="0"/>
          <w:numId w:val="4"/>
        </w:numPr>
      </w:pPr>
      <w:r>
        <w:t>State and justify whether or not the current credit yield premium compensates Wright for the credit risk of the bond based on the internal-bond rating criteria found in Exhibit 10.13.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340"/>
      </w:tblGrid>
      <w:tr w:rsidR="00791810" w:rsidRPr="00F353A9" w:rsidTr="00A25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91810" w:rsidRPr="00F353A9" w:rsidRDefault="00791810" w:rsidP="00A253B5">
            <w:r w:rsidRPr="00F353A9">
              <w:t>Exhibit 10.10 Montrose Cable Company Year Ended March 31, 2011</w:t>
            </w:r>
          </w:p>
        </w:tc>
      </w:tr>
      <w:tr w:rsidR="00791810" w:rsidRPr="00F353A9" w:rsidTr="00A25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91810" w:rsidRPr="00F353A9" w:rsidRDefault="00791810" w:rsidP="00A253B5">
            <w:r w:rsidRPr="00F353A9">
              <w:t>(US$ Thousands)</w:t>
            </w:r>
          </w:p>
        </w:tc>
      </w:tr>
    </w:tbl>
    <w:p w:rsidR="00791810" w:rsidRPr="00F353A9" w:rsidRDefault="00791810" w:rsidP="00791810">
      <w:pPr>
        <w:rPr>
          <w:b/>
          <w:u w:val="single"/>
        </w:rPr>
      </w:pPr>
      <w:r w:rsidRPr="00F353A9">
        <w:rPr>
          <w:b/>
          <w:u w:val="single"/>
        </w:rPr>
        <w:t>Balance Sheet</w:t>
      </w:r>
    </w:p>
    <w:p w:rsidR="00791810" w:rsidRDefault="00791810" w:rsidP="00791810">
      <w:r>
        <w:t xml:space="preserve">Current assets </w:t>
      </w:r>
      <w:r>
        <w:tab/>
      </w:r>
      <w:r>
        <w:tab/>
      </w:r>
      <w:r>
        <w:tab/>
      </w:r>
      <w:r>
        <w:tab/>
      </w:r>
      <w:r>
        <w:tab/>
        <w:t>$4,735</w:t>
      </w:r>
    </w:p>
    <w:p w:rsidR="00791810" w:rsidRDefault="00791810" w:rsidP="00791810">
      <w:r>
        <w:t xml:space="preserve">Fixed assets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3A9">
        <w:rPr>
          <w:u w:val="single"/>
        </w:rPr>
        <w:t>43,225</w:t>
      </w:r>
    </w:p>
    <w:p w:rsidR="00791810" w:rsidRDefault="00791810" w:rsidP="00791810">
      <w:r>
        <w:t xml:space="preserve">    Total assets </w:t>
      </w:r>
      <w:r>
        <w:tab/>
      </w:r>
      <w:r>
        <w:tab/>
      </w:r>
      <w:r>
        <w:tab/>
      </w:r>
      <w:r>
        <w:tab/>
      </w:r>
      <w:r>
        <w:tab/>
      </w:r>
      <w:r>
        <w:tab/>
        <w:t>$47,960</w:t>
      </w:r>
    </w:p>
    <w:p w:rsidR="00791810" w:rsidRDefault="00791810" w:rsidP="00791810">
      <w:r>
        <w:t xml:space="preserve">Current liabilities </w:t>
      </w:r>
      <w:r>
        <w:tab/>
      </w:r>
      <w:r>
        <w:tab/>
      </w:r>
      <w:r>
        <w:tab/>
      </w:r>
      <w:r>
        <w:tab/>
      </w:r>
      <w:r>
        <w:tab/>
        <w:t>$4,500</w:t>
      </w:r>
    </w:p>
    <w:p w:rsidR="00791810" w:rsidRDefault="00791810" w:rsidP="00791810">
      <w:r>
        <w:t xml:space="preserve">Long-term debt </w:t>
      </w:r>
      <w:r>
        <w:tab/>
      </w:r>
      <w:r>
        <w:tab/>
      </w:r>
      <w:r>
        <w:tab/>
      </w:r>
      <w:r>
        <w:tab/>
      </w:r>
      <w:r>
        <w:tab/>
      </w:r>
      <w:r w:rsidRPr="00F353A9">
        <w:rPr>
          <w:u w:val="single"/>
        </w:rPr>
        <w:t>10,000</w:t>
      </w:r>
    </w:p>
    <w:p w:rsidR="00791810" w:rsidRDefault="00791810" w:rsidP="00791810">
      <w:r>
        <w:t xml:space="preserve">   Total liabilities</w:t>
      </w:r>
      <w:r>
        <w:tab/>
      </w:r>
      <w:r>
        <w:tab/>
      </w:r>
      <w:r>
        <w:tab/>
      </w:r>
      <w:r>
        <w:tab/>
      </w:r>
      <w:r>
        <w:tab/>
        <w:t xml:space="preserve"> $14,500</w:t>
      </w:r>
    </w:p>
    <w:p w:rsidR="00791810" w:rsidRDefault="00791810" w:rsidP="00791810">
      <w:r>
        <w:lastRenderedPageBreak/>
        <w:t xml:space="preserve">Shareholder’s equity </w:t>
      </w:r>
      <w:r>
        <w:tab/>
      </w:r>
      <w:r>
        <w:tab/>
      </w:r>
      <w:r>
        <w:tab/>
      </w:r>
      <w:r>
        <w:tab/>
      </w:r>
      <w:r>
        <w:tab/>
      </w:r>
      <w:r w:rsidRPr="00F353A9">
        <w:rPr>
          <w:u w:val="single"/>
        </w:rPr>
        <w:t>33,460</w:t>
      </w:r>
    </w:p>
    <w:p w:rsidR="00791810" w:rsidRDefault="00791810" w:rsidP="00791810">
      <w:r>
        <w:t xml:space="preserve">   Total liabilities and shareholder’s equity </w:t>
      </w:r>
      <w:r>
        <w:tab/>
      </w:r>
      <w:r>
        <w:tab/>
        <w:t>$47,960</w:t>
      </w:r>
    </w:p>
    <w:p w:rsidR="00791810" w:rsidRDefault="00791810" w:rsidP="00791810"/>
    <w:p w:rsidR="00791810" w:rsidRPr="00F353A9" w:rsidRDefault="00791810" w:rsidP="00791810">
      <w:pPr>
        <w:rPr>
          <w:b/>
          <w:u w:val="single"/>
        </w:rPr>
      </w:pPr>
      <w:r w:rsidRPr="00F353A9">
        <w:rPr>
          <w:b/>
          <w:u w:val="single"/>
        </w:rPr>
        <w:t>Income Statement</w:t>
      </w:r>
    </w:p>
    <w:p w:rsidR="00791810" w:rsidRDefault="00791810" w:rsidP="00791810">
      <w:r>
        <w:t xml:space="preserve">Revenue </w:t>
      </w:r>
      <w:r>
        <w:tab/>
      </w:r>
      <w:r>
        <w:tab/>
      </w:r>
      <w:r>
        <w:tab/>
      </w:r>
      <w:r>
        <w:tab/>
      </w:r>
      <w:r>
        <w:tab/>
      </w:r>
      <w:r>
        <w:tab/>
        <w:t>$18,500</w:t>
      </w:r>
    </w:p>
    <w:p w:rsidR="00791810" w:rsidRDefault="00791810" w:rsidP="00791810">
      <w:r>
        <w:t xml:space="preserve">Operating and administrative expenses </w:t>
      </w:r>
      <w:r>
        <w:tab/>
      </w:r>
      <w:r>
        <w:tab/>
      </w:r>
      <w:r w:rsidRPr="004A21B7">
        <w:rPr>
          <w:u w:val="single"/>
        </w:rPr>
        <w:t>14,050</w:t>
      </w:r>
    </w:p>
    <w:p w:rsidR="00791810" w:rsidRDefault="00791810" w:rsidP="00791810">
      <w:r>
        <w:t xml:space="preserve">Operating income </w:t>
      </w:r>
      <w:r>
        <w:tab/>
      </w:r>
      <w:r>
        <w:tab/>
      </w:r>
      <w:r>
        <w:tab/>
      </w:r>
      <w:r>
        <w:tab/>
      </w:r>
      <w:r>
        <w:tab/>
        <w:t>$4,450</w:t>
      </w:r>
    </w:p>
    <w:p w:rsidR="00791810" w:rsidRDefault="00791810" w:rsidP="00791810">
      <w:r>
        <w:t xml:space="preserve">Depreciation and amortization </w:t>
      </w:r>
      <w:r>
        <w:tab/>
      </w:r>
      <w:r>
        <w:tab/>
      </w:r>
      <w:r>
        <w:tab/>
        <w:t>1,675</w:t>
      </w:r>
    </w:p>
    <w:p w:rsidR="00791810" w:rsidRDefault="00791810" w:rsidP="00791810">
      <w:r>
        <w:t xml:space="preserve">Interest expense </w:t>
      </w:r>
      <w:r>
        <w:tab/>
      </w:r>
      <w:r>
        <w:tab/>
      </w:r>
      <w:r>
        <w:tab/>
      </w:r>
      <w:r>
        <w:tab/>
      </w:r>
      <w:r>
        <w:tab/>
      </w:r>
      <w:r w:rsidRPr="004A21B7">
        <w:rPr>
          <w:u w:val="single"/>
        </w:rPr>
        <w:t>942</w:t>
      </w:r>
    </w:p>
    <w:p w:rsidR="00791810" w:rsidRDefault="00791810" w:rsidP="00791810">
      <w:r>
        <w:t>Income before income taxes</w:t>
      </w:r>
      <w:r>
        <w:tab/>
      </w:r>
      <w:r>
        <w:tab/>
      </w:r>
      <w:r>
        <w:tab/>
      </w:r>
      <w:r>
        <w:tab/>
        <w:t>$1,833</w:t>
      </w:r>
    </w:p>
    <w:p w:rsidR="00791810" w:rsidRDefault="00791810" w:rsidP="00791810">
      <w:r>
        <w:t xml:space="preserve">Taxes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21B7">
        <w:rPr>
          <w:u w:val="single"/>
        </w:rPr>
        <w:t>641</w:t>
      </w:r>
    </w:p>
    <w:p w:rsidR="00791810" w:rsidRDefault="00791810" w:rsidP="00791810">
      <w:pPr>
        <w:rPr>
          <w:u w:val="double"/>
        </w:rPr>
      </w:pPr>
      <w:r>
        <w:t xml:space="preserve">  Net Income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21B7">
        <w:rPr>
          <w:u w:val="double"/>
        </w:rPr>
        <w:t>$1,192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340"/>
      </w:tblGrid>
      <w:tr w:rsidR="00791810" w:rsidRPr="004A21B7" w:rsidTr="00A25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91810" w:rsidRPr="004A21B7" w:rsidRDefault="00791810" w:rsidP="00A253B5">
            <w:pPr>
              <w:rPr>
                <w:b w:val="0"/>
              </w:rPr>
            </w:pPr>
            <w:r w:rsidRPr="004A21B7">
              <w:rPr>
                <w:b w:val="0"/>
              </w:rPr>
              <w:t>Exhibit 10.11 Selected Ratios and Credit Yield Premium Data for Montrose</w:t>
            </w:r>
          </w:p>
        </w:tc>
      </w:tr>
    </w:tbl>
    <w:p w:rsidR="00791810" w:rsidRDefault="00791810" w:rsidP="00791810">
      <w:r>
        <w:t xml:space="preserve">EBITDA/interest expense </w:t>
      </w:r>
      <w:r>
        <w:tab/>
      </w:r>
      <w:r>
        <w:tab/>
      </w:r>
      <w:r>
        <w:tab/>
      </w:r>
      <w:r>
        <w:tab/>
        <w:t>4.72</w:t>
      </w:r>
    </w:p>
    <w:p w:rsidR="00791810" w:rsidRDefault="00791810" w:rsidP="00791810">
      <w:r>
        <w:t xml:space="preserve">Long-term debt/equity </w:t>
      </w:r>
      <w:r>
        <w:tab/>
      </w:r>
      <w:r>
        <w:tab/>
      </w:r>
      <w:r>
        <w:tab/>
      </w:r>
      <w:r>
        <w:tab/>
        <w:t>0.30</w:t>
      </w:r>
    </w:p>
    <w:p w:rsidR="00791810" w:rsidRDefault="00791810" w:rsidP="00791810">
      <w:r>
        <w:t xml:space="preserve">Current assets/current liabilities </w:t>
      </w:r>
      <w:r>
        <w:tab/>
      </w:r>
      <w:r>
        <w:tab/>
      </w:r>
      <w:r>
        <w:tab/>
        <w:t>1.05</w:t>
      </w:r>
    </w:p>
    <w:p w:rsidR="00791810" w:rsidRDefault="00791810" w:rsidP="00791810">
      <w:r>
        <w:t xml:space="preserve">Credit yield premium over U.S. Treasuries </w:t>
      </w:r>
      <w:r>
        <w:tab/>
      </w:r>
      <w:r>
        <w:tab/>
        <w:t>55 basis points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121"/>
        <w:gridCol w:w="3113"/>
        <w:gridCol w:w="3106"/>
      </w:tblGrid>
      <w:tr w:rsidR="00791810" w:rsidRPr="00AD01CC" w:rsidTr="00A25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791810" w:rsidRPr="00AD01CC" w:rsidRDefault="00791810" w:rsidP="00A253B5">
            <w:r w:rsidRPr="00AD01CC">
              <w:t>Exhibit 10.12 Montrose Off</w:t>
            </w:r>
          </w:p>
        </w:tc>
        <w:tc>
          <w:tcPr>
            <w:tcW w:w="3192" w:type="dxa"/>
          </w:tcPr>
          <w:p w:rsidR="00791810" w:rsidRPr="00AD01CC" w:rsidRDefault="00791810" w:rsidP="00A25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01CC">
              <w:t>Balance</w:t>
            </w:r>
          </w:p>
        </w:tc>
        <w:tc>
          <w:tcPr>
            <w:tcW w:w="3192" w:type="dxa"/>
          </w:tcPr>
          <w:p w:rsidR="00791810" w:rsidRPr="00AD01CC" w:rsidRDefault="00791810" w:rsidP="00A25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01CC">
              <w:t>Sheet Items</w:t>
            </w:r>
          </w:p>
        </w:tc>
      </w:tr>
    </w:tbl>
    <w:p w:rsidR="00791810" w:rsidRDefault="00791810" w:rsidP="00791810">
      <w:pPr>
        <w:pStyle w:val="ListParagraph"/>
        <w:numPr>
          <w:ilvl w:val="0"/>
          <w:numId w:val="3"/>
        </w:numPr>
      </w:pPr>
      <w:r>
        <w:t>Montrose has guaranteed the long-term debt (principal only) of an unconsolidated affiliate. This obligation has a present value of $995,000.</w:t>
      </w:r>
    </w:p>
    <w:p w:rsidR="00791810" w:rsidRDefault="00791810" w:rsidP="00791810">
      <w:pPr>
        <w:pStyle w:val="ListParagraph"/>
        <w:numPr>
          <w:ilvl w:val="0"/>
          <w:numId w:val="3"/>
        </w:numPr>
      </w:pPr>
      <w:r>
        <w:t>Montrose has sold $500,000 of accounts receivable with recourse at a yield of 8 percent</w:t>
      </w:r>
    </w:p>
    <w:p w:rsidR="00791810" w:rsidRDefault="00791810" w:rsidP="00791810">
      <w:pPr>
        <w:pStyle w:val="ListParagraph"/>
        <w:numPr>
          <w:ilvl w:val="0"/>
          <w:numId w:val="3"/>
        </w:numPr>
      </w:pPr>
      <w:r>
        <w:t xml:space="preserve">Montrose is a lessee in a new </w:t>
      </w:r>
      <w:proofErr w:type="spellStart"/>
      <w:r>
        <w:t>noncancelable</w:t>
      </w:r>
      <w:proofErr w:type="spellEnd"/>
      <w:r w:rsidRPr="00AD01CC">
        <w:t xml:space="preserve"> operating leasing agreement to finance transmission equipment. The discounted present value of the lease payments is $6,144,000 using an interest rate of 10 percent. The annual payment will be 1,000,000.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677"/>
        <w:gridCol w:w="4663"/>
      </w:tblGrid>
      <w:tr w:rsidR="00791810" w:rsidRPr="00AD01CC" w:rsidTr="00A25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91810" w:rsidRPr="00AD01CC" w:rsidRDefault="00791810" w:rsidP="00A253B5">
            <w:r w:rsidRPr="00AD01CC">
              <w:t>Exhibit 10.13 Blue River Investments: Internal Bond</w:t>
            </w:r>
          </w:p>
        </w:tc>
        <w:tc>
          <w:tcPr>
            <w:tcW w:w="4788" w:type="dxa"/>
          </w:tcPr>
          <w:p w:rsidR="00791810" w:rsidRPr="00AD01CC" w:rsidRDefault="00791810" w:rsidP="00A25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01CC">
              <w:t>Rating Criteria and Credit Yield Premium Data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699"/>
        <w:gridCol w:w="962"/>
        <w:gridCol w:w="3808"/>
        <w:gridCol w:w="1778"/>
      </w:tblGrid>
      <w:tr w:rsidR="00791810" w:rsidRPr="00AD01CC" w:rsidTr="00A253B5">
        <w:tc>
          <w:tcPr>
            <w:tcW w:w="1155" w:type="dxa"/>
          </w:tcPr>
          <w:p w:rsidR="00791810" w:rsidRPr="00AD01CC" w:rsidRDefault="00791810" w:rsidP="00A253B5">
            <w:pPr>
              <w:rPr>
                <w:b/>
                <w:sz w:val="20"/>
                <w:szCs w:val="20"/>
              </w:rPr>
            </w:pPr>
            <w:r w:rsidRPr="004C4CD1">
              <w:rPr>
                <w:b/>
                <w:sz w:val="20"/>
                <w:szCs w:val="20"/>
              </w:rPr>
              <w:lastRenderedPageBreak/>
              <w:t xml:space="preserve">Bond Rating </w:t>
            </w:r>
          </w:p>
        </w:tc>
        <w:tc>
          <w:tcPr>
            <w:tcW w:w="1710" w:type="dxa"/>
          </w:tcPr>
          <w:p w:rsidR="00791810" w:rsidRDefault="00791810" w:rsidP="00A253B5">
            <w:pPr>
              <w:rPr>
                <w:b/>
                <w:sz w:val="20"/>
                <w:szCs w:val="20"/>
              </w:rPr>
            </w:pPr>
            <w:r w:rsidRPr="004C4CD1">
              <w:rPr>
                <w:b/>
                <w:sz w:val="20"/>
                <w:szCs w:val="20"/>
              </w:rPr>
              <w:t xml:space="preserve">Interest Coverage </w:t>
            </w:r>
          </w:p>
          <w:p w:rsidR="00791810" w:rsidRPr="00AD01CC" w:rsidRDefault="00791810" w:rsidP="00A253B5">
            <w:pPr>
              <w:rPr>
                <w:b/>
                <w:sz w:val="20"/>
                <w:szCs w:val="20"/>
              </w:rPr>
            </w:pPr>
            <w:r w:rsidRPr="004C4CD1">
              <w:rPr>
                <w:b/>
                <w:sz w:val="20"/>
                <w:szCs w:val="20"/>
              </w:rPr>
              <w:t>(EBITDA/interest expense)</w:t>
            </w:r>
          </w:p>
        </w:tc>
        <w:tc>
          <w:tcPr>
            <w:tcW w:w="675" w:type="dxa"/>
          </w:tcPr>
          <w:p w:rsidR="00791810" w:rsidRDefault="00791810" w:rsidP="00A253B5">
            <w:pPr>
              <w:rPr>
                <w:b/>
                <w:sz w:val="20"/>
                <w:szCs w:val="20"/>
              </w:rPr>
            </w:pPr>
            <w:r w:rsidRPr="004C4CD1">
              <w:rPr>
                <w:b/>
                <w:sz w:val="20"/>
                <w:szCs w:val="20"/>
              </w:rPr>
              <w:t>Leverage</w:t>
            </w:r>
          </w:p>
          <w:p w:rsidR="00791810" w:rsidRDefault="00791810" w:rsidP="00A253B5">
            <w:pPr>
              <w:rPr>
                <w:b/>
                <w:sz w:val="20"/>
                <w:szCs w:val="20"/>
              </w:rPr>
            </w:pPr>
          </w:p>
          <w:p w:rsidR="00791810" w:rsidRPr="00AD01CC" w:rsidRDefault="00791810" w:rsidP="00A253B5">
            <w:pPr>
              <w:rPr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:rsidR="00791810" w:rsidRPr="00AD01CC" w:rsidRDefault="00791810" w:rsidP="00A253B5">
            <w:pPr>
              <w:rPr>
                <w:b/>
                <w:sz w:val="20"/>
                <w:szCs w:val="20"/>
              </w:rPr>
            </w:pPr>
            <w:r w:rsidRPr="004C4CD1">
              <w:rPr>
                <w:b/>
                <w:sz w:val="20"/>
                <w:szCs w:val="20"/>
              </w:rPr>
              <w:t>Current Ratio (Current assets/current liabilities)</w:t>
            </w:r>
          </w:p>
        </w:tc>
        <w:tc>
          <w:tcPr>
            <w:tcW w:w="1881" w:type="dxa"/>
          </w:tcPr>
          <w:p w:rsidR="00791810" w:rsidRDefault="00791810" w:rsidP="00A253B5">
            <w:pPr>
              <w:rPr>
                <w:b/>
                <w:sz w:val="20"/>
                <w:szCs w:val="20"/>
              </w:rPr>
            </w:pPr>
            <w:r w:rsidRPr="004C4CD1">
              <w:rPr>
                <w:b/>
                <w:sz w:val="20"/>
                <w:szCs w:val="20"/>
              </w:rPr>
              <w:t>Credit Yield Premium</w:t>
            </w:r>
            <w:r>
              <w:t xml:space="preserve"> </w:t>
            </w:r>
            <w:r w:rsidRPr="004C4CD1">
              <w:rPr>
                <w:b/>
                <w:sz w:val="20"/>
                <w:szCs w:val="20"/>
              </w:rPr>
              <w:t>over U.S. Treasuries</w:t>
            </w:r>
          </w:p>
          <w:p w:rsidR="00791810" w:rsidRDefault="00791810" w:rsidP="00A25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basis points)</w:t>
            </w:r>
          </w:p>
          <w:p w:rsidR="00791810" w:rsidRPr="00AD01CC" w:rsidRDefault="00791810" w:rsidP="00A253B5">
            <w:pPr>
              <w:rPr>
                <w:b/>
                <w:sz w:val="20"/>
                <w:szCs w:val="20"/>
              </w:rPr>
            </w:pPr>
          </w:p>
        </w:tc>
      </w:tr>
    </w:tbl>
    <w:p w:rsidR="00791810" w:rsidRDefault="00791810" w:rsidP="00791810">
      <w:pPr>
        <w:rPr>
          <w:sz w:val="20"/>
          <w:szCs w:val="20"/>
        </w:rPr>
      </w:pPr>
      <w:r>
        <w:rPr>
          <w:sz w:val="20"/>
          <w:szCs w:val="20"/>
        </w:rPr>
        <w:t xml:space="preserve">AA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5.00 to 6.00      0.25 to 0.30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1.15 to 1.25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 bps</w:t>
      </w:r>
    </w:p>
    <w:p w:rsidR="00791810" w:rsidRDefault="00791810" w:rsidP="00791810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4.00 to 5.00      0.30 to 0.40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1.00 to 1.15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50bps</w:t>
      </w:r>
    </w:p>
    <w:p w:rsidR="00791810" w:rsidRDefault="00791810" w:rsidP="00791810">
      <w:pPr>
        <w:rPr>
          <w:sz w:val="20"/>
          <w:szCs w:val="20"/>
        </w:rPr>
      </w:pPr>
      <w:r>
        <w:rPr>
          <w:sz w:val="20"/>
          <w:szCs w:val="20"/>
        </w:rPr>
        <w:t xml:space="preserve">BBB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3.00 to 4.00      0.40 to 0.50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0.90 to 1.00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100bps</w:t>
      </w:r>
    </w:p>
    <w:p w:rsidR="00791810" w:rsidRDefault="00791810" w:rsidP="00791810">
      <w:pPr>
        <w:rPr>
          <w:sz w:val="20"/>
          <w:szCs w:val="20"/>
        </w:rPr>
      </w:pPr>
      <w:r>
        <w:rPr>
          <w:sz w:val="20"/>
          <w:szCs w:val="20"/>
        </w:rPr>
        <w:t xml:space="preserve">BB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2.00 to 3.00      0.50 to 0.60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0.75 to 0.90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125bps </w:t>
      </w:r>
    </w:p>
    <w:p w:rsidR="00791810" w:rsidRDefault="00791810" w:rsidP="00791810">
      <w:pPr>
        <w:rPr>
          <w:b/>
        </w:rPr>
      </w:pPr>
      <w:r>
        <w:rPr>
          <w:b/>
        </w:rPr>
        <w:t xml:space="preserve">Chapter </w:t>
      </w:r>
    </w:p>
    <w:p w:rsidR="00791810" w:rsidRDefault="00791810" w:rsidP="00791810">
      <w:r w:rsidRPr="00791810">
        <w:rPr>
          <w:highlight w:val="yellow"/>
        </w:rPr>
        <w:t>6</w:t>
      </w:r>
      <w:r>
        <w:t>. Over the long run, you expect dividends for BBC in Problem 4 to grow at 8 percent and you require 11 percent on the stock. Using the infinite period DDM, how much would you pay for this stock?</w:t>
      </w:r>
    </w:p>
    <w:p w:rsidR="00791810" w:rsidRDefault="00791810" w:rsidP="00791810">
      <w:r w:rsidRPr="00791810">
        <w:rPr>
          <w:highlight w:val="yellow"/>
        </w:rPr>
        <w:t>8</w:t>
      </w:r>
      <w:r>
        <w:t xml:space="preserve">. The Shamrock </w:t>
      </w:r>
      <w:proofErr w:type="spellStart"/>
      <w:r>
        <w:t>Dogfood</w:t>
      </w:r>
      <w:proofErr w:type="spellEnd"/>
      <w:r>
        <w:t xml:space="preserve"> Company (SDC) has consistently paid out 40 percent of its earnings in dividends. The company’s return on equity is 16 percent. What would you estimate as </w:t>
      </w:r>
      <w:proofErr w:type="spellStart"/>
      <w:r>
        <w:t>itsi</w:t>
      </w:r>
      <w:proofErr w:type="spellEnd"/>
      <w:r>
        <w:t xml:space="preserve"> dividend growth rate?</w:t>
      </w:r>
    </w:p>
    <w:p w:rsidR="00791810" w:rsidRDefault="00791810" w:rsidP="00791810">
      <w:r w:rsidRPr="00791810">
        <w:rPr>
          <w:highlight w:val="yellow"/>
        </w:rPr>
        <w:t>10</w:t>
      </w:r>
      <w:r>
        <w:t xml:space="preserve">. What </w:t>
      </w:r>
      <w:r w:rsidRPr="00895523">
        <w:rPr>
          <w:i/>
        </w:rPr>
        <w:t>P/E</w:t>
      </w:r>
      <w:r>
        <w:t xml:space="preserve"> ratio would you apply if you learned that SDC had decided to increase its payout to 50 percent? (Hint: This change in payout has multiple effects.)</w:t>
      </w:r>
    </w:p>
    <w:p w:rsidR="00791810" w:rsidRPr="00791810" w:rsidRDefault="00791810" w:rsidP="00791810">
      <w:pPr>
        <w:rPr>
          <w:b/>
        </w:rPr>
      </w:pPr>
      <w:r w:rsidRPr="00791810">
        <w:rPr>
          <w:b/>
        </w:rPr>
        <w:t>DISCUSSION</w:t>
      </w:r>
    </w:p>
    <w:p w:rsidR="00791810" w:rsidRDefault="00791810" w:rsidP="00791810">
      <w:r>
        <w:t>•Determine whether a steel company or a retail food chain would have a greater business risk. Provide support for your rationale.</w:t>
      </w:r>
    </w:p>
    <w:p w:rsidR="00791810" w:rsidRDefault="00791810" w:rsidP="00791810">
      <w:r>
        <w:t>•Select one of the limitations of ratio analysis and indicate why you believe it is a major concern when predicting future financial performance.</w:t>
      </w:r>
    </w:p>
    <w:p w:rsidR="00791810" w:rsidRDefault="00791810" w:rsidP="00791810">
      <w:r>
        <w:t xml:space="preserve">•Discuss why you would not expect all industries to have a similar relationship trend to the economy. Provide an example of two industries that have a different relationship to </w:t>
      </w:r>
    </w:p>
    <w:p w:rsidR="00F363E5" w:rsidRDefault="00791810" w:rsidP="00791810">
      <w:r>
        <w:t xml:space="preserve">•Assess how the required rate of return on investment for a U.S. investor in common stocks may differ from the required rate of return on investment for a Japanese investor. Explain the factors that would determine the required rate of return for stocks in the U.S.  </w:t>
      </w:r>
      <w:proofErr w:type="gramStart"/>
      <w:r>
        <w:t>versus</w:t>
      </w:r>
      <w:proofErr w:type="gramEnd"/>
      <w:r>
        <w:t xml:space="preserve"> Japan, and which you believe is the most significant.</w:t>
      </w:r>
    </w:p>
    <w:sectPr w:rsidR="00F36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36D4"/>
    <w:multiLevelType w:val="hybridMultilevel"/>
    <w:tmpl w:val="14209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FB"/>
    <w:multiLevelType w:val="hybridMultilevel"/>
    <w:tmpl w:val="FAE6D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3F454B"/>
    <w:multiLevelType w:val="hybridMultilevel"/>
    <w:tmpl w:val="1A601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0160F"/>
    <w:multiLevelType w:val="hybridMultilevel"/>
    <w:tmpl w:val="38E6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10"/>
    <w:rsid w:val="00086848"/>
    <w:rsid w:val="000930A7"/>
    <w:rsid w:val="00096F56"/>
    <w:rsid w:val="000C2EBB"/>
    <w:rsid w:val="000E183D"/>
    <w:rsid w:val="000E5197"/>
    <w:rsid w:val="001458C6"/>
    <w:rsid w:val="00147FBC"/>
    <w:rsid w:val="00162EC2"/>
    <w:rsid w:val="00183157"/>
    <w:rsid w:val="001C23C2"/>
    <w:rsid w:val="001D1BA3"/>
    <w:rsid w:val="001E3A3F"/>
    <w:rsid w:val="002317BA"/>
    <w:rsid w:val="00232D4D"/>
    <w:rsid w:val="00263A6F"/>
    <w:rsid w:val="002A2A26"/>
    <w:rsid w:val="002C05E1"/>
    <w:rsid w:val="002C2696"/>
    <w:rsid w:val="003C5082"/>
    <w:rsid w:val="003D1E0F"/>
    <w:rsid w:val="003D4292"/>
    <w:rsid w:val="003E5C6D"/>
    <w:rsid w:val="003E686F"/>
    <w:rsid w:val="00426D12"/>
    <w:rsid w:val="00456DA2"/>
    <w:rsid w:val="0047629E"/>
    <w:rsid w:val="004A079E"/>
    <w:rsid w:val="004B5124"/>
    <w:rsid w:val="004C3588"/>
    <w:rsid w:val="004E470C"/>
    <w:rsid w:val="004F43F0"/>
    <w:rsid w:val="004F6405"/>
    <w:rsid w:val="00523578"/>
    <w:rsid w:val="00555837"/>
    <w:rsid w:val="005B2EF8"/>
    <w:rsid w:val="005C4FB3"/>
    <w:rsid w:val="005F0BCC"/>
    <w:rsid w:val="00632265"/>
    <w:rsid w:val="00660B39"/>
    <w:rsid w:val="00680CCD"/>
    <w:rsid w:val="00695A31"/>
    <w:rsid w:val="006A5C55"/>
    <w:rsid w:val="006D27B9"/>
    <w:rsid w:val="00742B03"/>
    <w:rsid w:val="00750007"/>
    <w:rsid w:val="0075291B"/>
    <w:rsid w:val="007744BC"/>
    <w:rsid w:val="0077711C"/>
    <w:rsid w:val="00791810"/>
    <w:rsid w:val="007A19B5"/>
    <w:rsid w:val="00802137"/>
    <w:rsid w:val="0083665C"/>
    <w:rsid w:val="00840E64"/>
    <w:rsid w:val="0086518E"/>
    <w:rsid w:val="0089530B"/>
    <w:rsid w:val="008B4175"/>
    <w:rsid w:val="00923CEA"/>
    <w:rsid w:val="00942BD5"/>
    <w:rsid w:val="009509D8"/>
    <w:rsid w:val="009B4B04"/>
    <w:rsid w:val="009E0083"/>
    <w:rsid w:val="00A43159"/>
    <w:rsid w:val="00AC109B"/>
    <w:rsid w:val="00B03F02"/>
    <w:rsid w:val="00B12594"/>
    <w:rsid w:val="00B243AD"/>
    <w:rsid w:val="00BB72ED"/>
    <w:rsid w:val="00BE3AD9"/>
    <w:rsid w:val="00BE40B9"/>
    <w:rsid w:val="00BE73ED"/>
    <w:rsid w:val="00CB4126"/>
    <w:rsid w:val="00D27E32"/>
    <w:rsid w:val="00D357AD"/>
    <w:rsid w:val="00D52712"/>
    <w:rsid w:val="00D95F47"/>
    <w:rsid w:val="00DA7736"/>
    <w:rsid w:val="00DE2374"/>
    <w:rsid w:val="00E02B95"/>
    <w:rsid w:val="00E21FC9"/>
    <w:rsid w:val="00E316DA"/>
    <w:rsid w:val="00E417E7"/>
    <w:rsid w:val="00E74EFC"/>
    <w:rsid w:val="00E841DE"/>
    <w:rsid w:val="00ED7D6A"/>
    <w:rsid w:val="00F00D81"/>
    <w:rsid w:val="00F079FF"/>
    <w:rsid w:val="00F363E5"/>
    <w:rsid w:val="00F53477"/>
    <w:rsid w:val="00F71187"/>
    <w:rsid w:val="00F813DF"/>
    <w:rsid w:val="00FB6444"/>
    <w:rsid w:val="00FB7A39"/>
    <w:rsid w:val="00FC1D58"/>
    <w:rsid w:val="00FC32AC"/>
    <w:rsid w:val="00FD3B7F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4C91B-5C6D-4008-BF79-72645D30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1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810"/>
    <w:pPr>
      <w:ind w:left="720"/>
      <w:contextualSpacing/>
    </w:pPr>
  </w:style>
  <w:style w:type="table" w:styleId="TableGrid">
    <w:name w:val="Table Grid"/>
    <w:basedOn w:val="TableNormal"/>
    <w:uiPriority w:val="59"/>
    <w:rsid w:val="0079181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791810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5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17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7980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71797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0125">
                                                  <w:marLeft w:val="18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7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3038">
                                                          <w:marLeft w:val="450"/>
                                                          <w:marRight w:val="45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single" w:sz="6" w:space="0" w:color="AAAAAA"/>
                                                            <w:left w:val="single" w:sz="6" w:space="0" w:color="AAAAAA"/>
                                                            <w:bottom w:val="single" w:sz="6" w:space="0" w:color="AAAAAA"/>
                                                            <w:right w:val="single" w:sz="6" w:space="0" w:color="AAAAAA"/>
                                                          </w:divBdr>
                                                          <w:divsChild>
                                                            <w:div w:id="213983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9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5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106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6357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10348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7321">
                                                  <w:marLeft w:val="18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9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15986">
                                                          <w:marLeft w:val="450"/>
                                                          <w:marRight w:val="45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single" w:sz="6" w:space="0" w:color="AAAAAA"/>
                                                            <w:left w:val="single" w:sz="6" w:space="0" w:color="AAAAAA"/>
                                                            <w:bottom w:val="single" w:sz="6" w:space="0" w:color="AAAAAA"/>
                                                            <w:right w:val="single" w:sz="6" w:space="0" w:color="AAAAAA"/>
                                                          </w:divBdr>
                                                          <w:divsChild>
                                                            <w:div w:id="162812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95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Carter</dc:creator>
  <cp:keywords/>
  <dc:description/>
  <cp:lastModifiedBy>Keisha Carter</cp:lastModifiedBy>
  <cp:revision>1</cp:revision>
  <dcterms:created xsi:type="dcterms:W3CDTF">2014-08-03T03:27:00Z</dcterms:created>
  <dcterms:modified xsi:type="dcterms:W3CDTF">2014-08-03T03:35:00Z</dcterms:modified>
</cp:coreProperties>
</file>