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3A" w:rsidRDefault="00682C3A" w:rsidP="008511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1151" w:rsidRDefault="00851151" w:rsidP="008511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1151" w:rsidRDefault="00851151" w:rsidP="008511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1151" w:rsidRDefault="00851151" w:rsidP="008511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1151" w:rsidRDefault="00270E5B" w:rsidP="0085115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Studies Week 4</w:t>
      </w:r>
    </w:p>
    <w:p w:rsidR="00851151" w:rsidRDefault="00D8450D" w:rsidP="0085115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L. Campbell</w:t>
      </w:r>
    </w:p>
    <w:p w:rsidR="00E50FD9" w:rsidRDefault="00E50FD9" w:rsidP="0085115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University Online</w:t>
      </w:r>
    </w:p>
    <w:p w:rsidR="007A4D34" w:rsidRDefault="00906FB1" w:rsidP="0085115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 Chapin </w:t>
      </w:r>
    </w:p>
    <w:p w:rsidR="007A4D34" w:rsidRDefault="00906FB1" w:rsidP="0085115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3055 </w:t>
      </w:r>
    </w:p>
    <w:p w:rsidR="00ED230C" w:rsidRDefault="00ED230C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230C" w:rsidRDefault="00BE757F" w:rsidP="0085115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Case Studies Week 4</w:t>
      </w:r>
    </w:p>
    <w:p w:rsidR="005734B2" w:rsidRPr="00DE2846" w:rsidRDefault="005734B2" w:rsidP="0085484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E2846">
        <w:rPr>
          <w:rFonts w:ascii="Times New Roman" w:hAnsi="Times New Roman" w:cs="Times New Roman"/>
          <w:b/>
          <w:sz w:val="24"/>
          <w:szCs w:val="24"/>
        </w:rPr>
        <w:t>Case Study 1</w:t>
      </w:r>
      <w:r w:rsidR="00E20D0E" w:rsidRPr="00DE2846">
        <w:rPr>
          <w:rFonts w:ascii="Times New Roman" w:hAnsi="Times New Roman" w:cs="Times New Roman"/>
          <w:b/>
          <w:sz w:val="24"/>
          <w:szCs w:val="24"/>
        </w:rPr>
        <w:t xml:space="preserve">: Bankruptcy </w:t>
      </w:r>
    </w:p>
    <w:p w:rsidR="00D13A83" w:rsidRPr="00252BF7" w:rsidRDefault="00BE757F" w:rsidP="00252BF7">
      <w:pPr>
        <w:autoSpaceDE w:val="0"/>
        <w:autoSpaceDN w:val="0"/>
        <w:adjustRightInd w:val="0"/>
        <w:spacing w:before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2846">
        <w:rPr>
          <w:rFonts w:ascii="Times New Roman" w:hAnsi="Times New Roman" w:cs="Times New Roman"/>
          <w:sz w:val="24"/>
          <w:szCs w:val="24"/>
        </w:rPr>
        <w:t>Andy unfortunately</w:t>
      </w:r>
      <w:r w:rsidR="00DE2846" w:rsidRPr="00DE2846">
        <w:rPr>
          <w:rFonts w:ascii="Times New Roman" w:hAnsi="Times New Roman" w:cs="Times New Roman"/>
          <w:sz w:val="24"/>
          <w:szCs w:val="24"/>
        </w:rPr>
        <w:t>,</w:t>
      </w:r>
      <w:r w:rsidRPr="00DE2846">
        <w:rPr>
          <w:rFonts w:ascii="Times New Roman" w:hAnsi="Times New Roman" w:cs="Times New Roman"/>
          <w:sz w:val="24"/>
          <w:szCs w:val="24"/>
        </w:rPr>
        <w:t xml:space="preserve"> has come upon a time in his life that for unseen reason</w:t>
      </w:r>
      <w:r w:rsidR="00DE2846">
        <w:rPr>
          <w:rFonts w:ascii="Times New Roman" w:hAnsi="Times New Roman" w:cs="Times New Roman"/>
          <w:sz w:val="24"/>
          <w:szCs w:val="24"/>
        </w:rPr>
        <w:t>s</w:t>
      </w:r>
      <w:r w:rsidR="00DE2846" w:rsidRPr="00DE2846">
        <w:rPr>
          <w:rFonts w:ascii="Times New Roman" w:hAnsi="Times New Roman" w:cs="Times New Roman"/>
          <w:sz w:val="24"/>
          <w:szCs w:val="24"/>
        </w:rPr>
        <w:t>, the</w:t>
      </w:r>
      <w:r w:rsidRPr="00DE2846">
        <w:rPr>
          <w:rFonts w:ascii="Times New Roman" w:hAnsi="Times New Roman" w:cs="Times New Roman"/>
          <w:sz w:val="24"/>
          <w:szCs w:val="24"/>
        </w:rPr>
        <w:t xml:space="preserve"> world has caught up with him.</w:t>
      </w:r>
      <w:r w:rsidRPr="00252BF7">
        <w:rPr>
          <w:rFonts w:ascii="Times New Roman" w:hAnsi="Times New Roman" w:cs="Times New Roman"/>
          <w:sz w:val="24"/>
          <w:szCs w:val="24"/>
        </w:rPr>
        <w:t xml:space="preserve"> The decision to declare Bankruptcy cannot be taken lightly. </w:t>
      </w:r>
      <w:r w:rsidRPr="00E20D0E">
        <w:rPr>
          <w:rFonts w:ascii="Times New Roman" w:hAnsi="Times New Roman" w:cs="Times New Roman"/>
          <w:sz w:val="24"/>
          <w:szCs w:val="24"/>
        </w:rPr>
        <w:t>The main reason for bankruptcy is to relieve a person of debt and</w:t>
      </w:r>
      <w:r w:rsidR="00E20D0E" w:rsidRPr="00E20D0E">
        <w:rPr>
          <w:rFonts w:ascii="Times New Roman" w:hAnsi="Times New Roman" w:cs="Times New Roman"/>
          <w:sz w:val="24"/>
          <w:szCs w:val="24"/>
        </w:rPr>
        <w:t>,</w:t>
      </w:r>
      <w:r w:rsidRPr="00E20D0E">
        <w:rPr>
          <w:rFonts w:ascii="Times New Roman" w:hAnsi="Times New Roman" w:cs="Times New Roman"/>
          <w:sz w:val="24"/>
          <w:szCs w:val="24"/>
        </w:rPr>
        <w:t xml:space="preserve"> to </w:t>
      </w:r>
      <w:r w:rsidR="00E20D0E">
        <w:rPr>
          <w:rFonts w:ascii="Times New Roman" w:hAnsi="Times New Roman" w:cs="Times New Roman"/>
          <w:sz w:val="24"/>
          <w:szCs w:val="24"/>
        </w:rPr>
        <w:t>provid</w:t>
      </w:r>
      <w:r w:rsidRPr="00E20D0E">
        <w:rPr>
          <w:rFonts w:ascii="Times New Roman" w:hAnsi="Times New Roman" w:cs="Times New Roman"/>
          <w:sz w:val="24"/>
          <w:szCs w:val="24"/>
        </w:rPr>
        <w:t xml:space="preserve">e a fresh start by liquidating debt and to keep creditors through a bankruptcy court </w:t>
      </w:r>
      <w:r w:rsidR="00D13A83" w:rsidRPr="00E20D0E">
        <w:rPr>
          <w:rFonts w:ascii="Times New Roman" w:hAnsi="Times New Roman" w:cs="Times New Roman"/>
          <w:sz w:val="24"/>
          <w:szCs w:val="24"/>
        </w:rPr>
        <w:t>to</w:t>
      </w:r>
      <w:r w:rsidRPr="00E20D0E">
        <w:rPr>
          <w:rFonts w:ascii="Times New Roman" w:hAnsi="Times New Roman" w:cs="Times New Roman"/>
          <w:sz w:val="24"/>
          <w:szCs w:val="24"/>
        </w:rPr>
        <w:t xml:space="preserve"> deal with the debtor so that no one creditor </w:t>
      </w:r>
      <w:r w:rsidR="00D13A83" w:rsidRPr="00E20D0E">
        <w:rPr>
          <w:rFonts w:ascii="Times New Roman" w:hAnsi="Times New Roman" w:cs="Times New Roman"/>
          <w:sz w:val="24"/>
          <w:szCs w:val="24"/>
        </w:rPr>
        <w:t>prevails at the expense of the other creditors.</w:t>
      </w:r>
      <w:r w:rsidR="00D13A83" w:rsidRPr="00252BF7">
        <w:rPr>
          <w:rFonts w:ascii="Times New Roman" w:hAnsi="Times New Roman" w:cs="Times New Roman"/>
          <w:sz w:val="24"/>
          <w:szCs w:val="24"/>
        </w:rPr>
        <w:t xml:space="preserve"> Chapter 7 wipes the slate clean (Twomey &amp; Jennings</w:t>
      </w:r>
      <w:r w:rsidR="00A150BD" w:rsidRPr="00252BF7">
        <w:rPr>
          <w:rFonts w:ascii="Times New Roman" w:hAnsi="Times New Roman" w:cs="Times New Roman"/>
          <w:sz w:val="24"/>
          <w:szCs w:val="24"/>
        </w:rPr>
        <w:t>, 2013</w:t>
      </w:r>
      <w:r w:rsidR="00D13A83" w:rsidRPr="00252BF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150BD" w:rsidRPr="00252BF7" w:rsidRDefault="00A150BD" w:rsidP="00252BF7">
      <w:pPr>
        <w:autoSpaceDE w:val="0"/>
        <w:autoSpaceDN w:val="0"/>
        <w:adjustRightInd w:val="0"/>
        <w:spacing w:before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2BF7">
        <w:rPr>
          <w:rFonts w:ascii="Times New Roman" w:hAnsi="Times New Roman" w:cs="Times New Roman"/>
          <w:sz w:val="24"/>
          <w:szCs w:val="24"/>
        </w:rPr>
        <w:t>Andy’s</w:t>
      </w:r>
      <w:r w:rsidR="00D13A83" w:rsidRPr="00252BF7">
        <w:rPr>
          <w:rFonts w:ascii="Times New Roman" w:hAnsi="Times New Roman" w:cs="Times New Roman"/>
          <w:sz w:val="24"/>
          <w:szCs w:val="24"/>
        </w:rPr>
        <w:t xml:space="preserve"> income has dramatically been </w:t>
      </w:r>
      <w:r w:rsidRPr="00252BF7">
        <w:rPr>
          <w:rFonts w:ascii="Times New Roman" w:hAnsi="Times New Roman" w:cs="Times New Roman"/>
          <w:sz w:val="24"/>
          <w:szCs w:val="24"/>
        </w:rPr>
        <w:t>reduced by</w:t>
      </w:r>
      <w:r w:rsidR="00D13A83" w:rsidRPr="00252BF7">
        <w:rPr>
          <w:rFonts w:ascii="Times New Roman" w:hAnsi="Times New Roman" w:cs="Times New Roman"/>
          <w:sz w:val="24"/>
          <w:szCs w:val="24"/>
        </w:rPr>
        <w:t xml:space="preserve"> half from 80,000 to 40,000 a </w:t>
      </w:r>
      <w:r w:rsidR="00D13A83" w:rsidRPr="00E20D0E">
        <w:rPr>
          <w:rFonts w:ascii="Times New Roman" w:hAnsi="Times New Roman" w:cs="Times New Roman"/>
          <w:sz w:val="24"/>
          <w:szCs w:val="24"/>
        </w:rPr>
        <w:t>year</w:t>
      </w:r>
      <w:r w:rsidR="00D13A83" w:rsidRPr="00252BF7">
        <w:rPr>
          <w:rFonts w:ascii="Times New Roman" w:hAnsi="Times New Roman" w:cs="Times New Roman"/>
          <w:sz w:val="24"/>
          <w:szCs w:val="24"/>
        </w:rPr>
        <w:t xml:space="preserve"> and due to unemployment he could not keep </w:t>
      </w:r>
      <w:r w:rsidR="001A725E" w:rsidRPr="00252BF7">
        <w:rPr>
          <w:rFonts w:ascii="Times New Roman" w:hAnsi="Times New Roman" w:cs="Times New Roman"/>
          <w:sz w:val="24"/>
          <w:szCs w:val="24"/>
        </w:rPr>
        <w:t>his obligations</w:t>
      </w:r>
      <w:r w:rsidR="00D13A83" w:rsidRPr="00252BF7">
        <w:rPr>
          <w:rFonts w:ascii="Times New Roman" w:hAnsi="Times New Roman" w:cs="Times New Roman"/>
          <w:sz w:val="24"/>
          <w:szCs w:val="24"/>
        </w:rPr>
        <w:t xml:space="preserve"> to pay his mortgage, and pay his credit cards and his </w:t>
      </w:r>
      <w:r w:rsidR="00D13A83" w:rsidRPr="00E20D0E">
        <w:rPr>
          <w:rFonts w:ascii="Times New Roman" w:hAnsi="Times New Roman" w:cs="Times New Roman"/>
          <w:sz w:val="24"/>
          <w:szCs w:val="24"/>
        </w:rPr>
        <w:t>education</w:t>
      </w:r>
      <w:r w:rsidR="00D13A83" w:rsidRPr="00252BF7">
        <w:rPr>
          <w:rFonts w:ascii="Times New Roman" w:hAnsi="Times New Roman" w:cs="Times New Roman"/>
          <w:sz w:val="24"/>
          <w:szCs w:val="24"/>
        </w:rPr>
        <w:t xml:space="preserve"> and custodial duties of child support. </w:t>
      </w:r>
      <w:r w:rsidR="00CE3D34" w:rsidRPr="00252BF7">
        <w:rPr>
          <w:rFonts w:ascii="Times New Roman" w:hAnsi="Times New Roman" w:cs="Times New Roman"/>
          <w:sz w:val="24"/>
          <w:szCs w:val="24"/>
        </w:rPr>
        <w:t xml:space="preserve">Andy resides in Florida and </w:t>
      </w:r>
      <w:r w:rsidR="00D13A83" w:rsidRPr="00252BF7">
        <w:rPr>
          <w:rFonts w:ascii="Times New Roman" w:hAnsi="Times New Roman" w:cs="Times New Roman"/>
          <w:sz w:val="24"/>
          <w:szCs w:val="24"/>
        </w:rPr>
        <w:t xml:space="preserve">his </w:t>
      </w:r>
      <w:r w:rsidRPr="00E20D0E">
        <w:rPr>
          <w:rFonts w:ascii="Times New Roman" w:hAnsi="Times New Roman" w:cs="Times New Roman"/>
          <w:sz w:val="24"/>
          <w:szCs w:val="24"/>
        </w:rPr>
        <w:t>income</w:t>
      </w:r>
      <w:r w:rsidRPr="00252BF7">
        <w:rPr>
          <w:rFonts w:ascii="Times New Roman" w:hAnsi="Times New Roman" w:cs="Times New Roman"/>
          <w:sz w:val="24"/>
          <w:szCs w:val="24"/>
        </w:rPr>
        <w:t xml:space="preserve"> </w:t>
      </w:r>
      <w:r w:rsidR="00D13A83" w:rsidRPr="00252BF7">
        <w:rPr>
          <w:rFonts w:ascii="Times New Roman" w:hAnsi="Times New Roman" w:cs="Times New Roman"/>
          <w:sz w:val="24"/>
          <w:szCs w:val="24"/>
        </w:rPr>
        <w:t>under</w:t>
      </w:r>
      <w:r w:rsidRPr="00252BF7">
        <w:rPr>
          <w:rFonts w:ascii="Times New Roman" w:hAnsi="Times New Roman" w:cs="Times New Roman"/>
          <w:sz w:val="24"/>
          <w:szCs w:val="24"/>
        </w:rPr>
        <w:t xml:space="preserve"> </w:t>
      </w:r>
      <w:r w:rsidRPr="00252BF7">
        <w:rPr>
          <w:rFonts w:ascii="Times New Roman" w:hAnsi="Times New Roman" w:cs="Times New Roman"/>
          <w:sz w:val="24"/>
          <w:szCs w:val="24"/>
        </w:rPr>
        <w:t xml:space="preserve">the </w:t>
      </w:r>
      <w:r w:rsidRPr="00DE2846">
        <w:rPr>
          <w:rFonts w:ascii="Times New Roman" w:hAnsi="Times New Roman" w:cs="Times New Roman"/>
          <w:sz w:val="24"/>
          <w:szCs w:val="24"/>
        </w:rPr>
        <w:t>Bankruptcy Abuse Prevention and Consumer Protection Act of 2005</w:t>
      </w:r>
      <w:r w:rsidRPr="00DE2846">
        <w:rPr>
          <w:rFonts w:ascii="Times New Roman" w:hAnsi="Times New Roman" w:cs="Times New Roman"/>
          <w:sz w:val="24"/>
          <w:szCs w:val="24"/>
        </w:rPr>
        <w:t xml:space="preserve"> (BAPCPA</w:t>
      </w:r>
      <w:r w:rsidRPr="00252BF7">
        <w:rPr>
          <w:rFonts w:ascii="Times New Roman" w:hAnsi="Times New Roman" w:cs="Times New Roman"/>
          <w:sz w:val="24"/>
          <w:szCs w:val="24"/>
        </w:rPr>
        <w:t xml:space="preserve">) </w:t>
      </w:r>
      <w:r w:rsidRPr="00E20D0E">
        <w:rPr>
          <w:rFonts w:ascii="Times New Roman" w:hAnsi="Times New Roman" w:cs="Times New Roman"/>
          <w:sz w:val="24"/>
          <w:szCs w:val="24"/>
        </w:rPr>
        <w:t>require</w:t>
      </w:r>
      <w:r w:rsidRPr="00252BF7">
        <w:rPr>
          <w:rFonts w:ascii="Times New Roman" w:hAnsi="Times New Roman" w:cs="Times New Roman"/>
          <w:sz w:val="24"/>
          <w:szCs w:val="24"/>
        </w:rPr>
        <w:t xml:space="preserve"> a means test to determine if his income is </w:t>
      </w:r>
      <w:r w:rsidRPr="00E20D0E">
        <w:rPr>
          <w:rFonts w:ascii="Times New Roman" w:hAnsi="Times New Roman" w:cs="Times New Roman"/>
          <w:sz w:val="24"/>
          <w:szCs w:val="24"/>
        </w:rPr>
        <w:t>low</w:t>
      </w:r>
      <w:r w:rsidRPr="00252BF7">
        <w:rPr>
          <w:rFonts w:ascii="Times New Roman" w:hAnsi="Times New Roman" w:cs="Times New Roman"/>
          <w:sz w:val="24"/>
          <w:szCs w:val="24"/>
        </w:rPr>
        <w:t xml:space="preserve"> enough to </w:t>
      </w:r>
      <w:r w:rsidRPr="00E20D0E">
        <w:rPr>
          <w:rFonts w:ascii="Times New Roman" w:hAnsi="Times New Roman" w:cs="Times New Roman"/>
          <w:sz w:val="24"/>
          <w:szCs w:val="24"/>
        </w:rPr>
        <w:t>file</w:t>
      </w:r>
      <w:r w:rsidRPr="00252BF7">
        <w:rPr>
          <w:rFonts w:ascii="Times New Roman" w:hAnsi="Times New Roman" w:cs="Times New Roman"/>
          <w:sz w:val="24"/>
          <w:szCs w:val="24"/>
        </w:rPr>
        <w:t xml:space="preserve">, he would be able to meet the </w:t>
      </w:r>
      <w:r w:rsidR="00E20D0E" w:rsidRPr="00252BF7">
        <w:rPr>
          <w:rFonts w:ascii="Times New Roman" w:hAnsi="Times New Roman" w:cs="Times New Roman"/>
          <w:sz w:val="24"/>
          <w:szCs w:val="24"/>
        </w:rPr>
        <w:t>criteria</w:t>
      </w:r>
      <w:r w:rsidR="00E20D0E">
        <w:rPr>
          <w:rFonts w:ascii="Times New Roman" w:hAnsi="Times New Roman" w:cs="Times New Roman"/>
          <w:sz w:val="24"/>
          <w:szCs w:val="24"/>
        </w:rPr>
        <w:t xml:space="preserve"> (</w:t>
      </w:r>
      <w:r w:rsidR="00E20D0E" w:rsidRPr="00E20D0E">
        <w:rPr>
          <w:rFonts w:ascii="Times New Roman" w:hAnsi="Times New Roman" w:cs="Times New Roman"/>
          <w:sz w:val="24"/>
          <w:szCs w:val="24"/>
        </w:rPr>
        <w:t>thismatters.com</w:t>
      </w:r>
      <w:r w:rsidR="00E20D0E">
        <w:rPr>
          <w:rFonts w:ascii="Times New Roman" w:hAnsi="Times New Roman" w:cs="Times New Roman"/>
          <w:sz w:val="24"/>
          <w:szCs w:val="24"/>
        </w:rPr>
        <w:t>).</w:t>
      </w:r>
      <w:r w:rsidR="001A725E" w:rsidRPr="00252BF7">
        <w:rPr>
          <w:rFonts w:ascii="Times New Roman" w:hAnsi="Times New Roman" w:cs="Times New Roman"/>
          <w:sz w:val="24"/>
          <w:szCs w:val="24"/>
        </w:rPr>
        <w:t xml:space="preserve"> </w:t>
      </w:r>
      <w:r w:rsidR="001A725E" w:rsidRPr="00DE2846">
        <w:rPr>
          <w:rFonts w:ascii="Times New Roman" w:hAnsi="Times New Roman" w:cs="Times New Roman"/>
          <w:sz w:val="24"/>
          <w:szCs w:val="24"/>
        </w:rPr>
        <w:t>The means test takes into account the Standards Administrative</w:t>
      </w:r>
      <w:r w:rsidR="001A725E" w:rsidRPr="00DE2846">
        <w:rPr>
          <w:rFonts w:ascii="Times New Roman" w:hAnsi="Times New Roman" w:cs="Times New Roman"/>
          <w:sz w:val="24"/>
          <w:szCs w:val="24"/>
        </w:rPr>
        <w:t xml:space="preserve"> Expense </w:t>
      </w:r>
      <w:r w:rsidR="00DE2846" w:rsidRPr="00DE2846">
        <w:rPr>
          <w:rFonts w:ascii="Times New Roman" w:hAnsi="Times New Roman" w:cs="Times New Roman"/>
          <w:sz w:val="24"/>
          <w:szCs w:val="24"/>
        </w:rPr>
        <w:t>Multipliers</w:t>
      </w:r>
      <w:r w:rsidR="001A725E" w:rsidRPr="00DE2846">
        <w:rPr>
          <w:rFonts w:ascii="Times New Roman" w:hAnsi="Times New Roman" w:cs="Times New Roman"/>
          <w:sz w:val="24"/>
          <w:szCs w:val="24"/>
        </w:rPr>
        <w:t xml:space="preserve"> and IRS’s National Standards for Allowable Living </w:t>
      </w:r>
      <w:r w:rsidR="00E20D0E" w:rsidRPr="00DE2846">
        <w:rPr>
          <w:rFonts w:ascii="Times New Roman" w:hAnsi="Times New Roman" w:cs="Times New Roman"/>
          <w:sz w:val="24"/>
          <w:szCs w:val="24"/>
        </w:rPr>
        <w:t xml:space="preserve">Expenses </w:t>
      </w:r>
      <w:r w:rsidR="001A725E" w:rsidRPr="00DE2846">
        <w:rPr>
          <w:rFonts w:ascii="Times New Roman" w:hAnsi="Times New Roman" w:cs="Times New Roman"/>
          <w:sz w:val="24"/>
          <w:szCs w:val="24"/>
        </w:rPr>
        <w:t>and Local Standards for Transportation and Housing and Utilities</w:t>
      </w:r>
      <w:r w:rsidR="001A725E" w:rsidRPr="00DE2846">
        <w:rPr>
          <w:rFonts w:ascii="Times New Roman" w:hAnsi="Times New Roman" w:cs="Times New Roman"/>
          <w:sz w:val="24"/>
          <w:szCs w:val="24"/>
        </w:rPr>
        <w:t>.</w:t>
      </w:r>
      <w:r w:rsidR="001A725E" w:rsidRPr="00252BF7">
        <w:rPr>
          <w:rFonts w:ascii="Times New Roman" w:hAnsi="Times New Roman" w:cs="Times New Roman"/>
          <w:sz w:val="24"/>
          <w:szCs w:val="24"/>
        </w:rPr>
        <w:t xml:space="preserve"> </w:t>
      </w:r>
      <w:r w:rsidR="001A725E" w:rsidRPr="00E20D0E">
        <w:rPr>
          <w:rFonts w:ascii="Times New Roman" w:hAnsi="Times New Roman" w:cs="Times New Roman"/>
          <w:sz w:val="24"/>
          <w:szCs w:val="24"/>
        </w:rPr>
        <w:t xml:space="preserve">Under </w:t>
      </w:r>
      <w:r w:rsidR="00CE3D34" w:rsidRPr="00E20D0E">
        <w:rPr>
          <w:rFonts w:ascii="Times New Roman" w:hAnsi="Times New Roman" w:cs="Times New Roman"/>
          <w:sz w:val="24"/>
          <w:szCs w:val="24"/>
        </w:rPr>
        <w:t>the State of Florida</w:t>
      </w:r>
      <w:r w:rsidR="00E20D0E">
        <w:rPr>
          <w:rFonts w:ascii="Times New Roman" w:hAnsi="Times New Roman" w:cs="Times New Roman"/>
          <w:sz w:val="24"/>
          <w:szCs w:val="24"/>
        </w:rPr>
        <w:t xml:space="preserve">, </w:t>
      </w:r>
      <w:r w:rsidR="00E20D0E" w:rsidRPr="00252BF7">
        <w:rPr>
          <w:rFonts w:ascii="Times New Roman" w:hAnsi="Times New Roman" w:cs="Times New Roman"/>
          <w:sz w:val="24"/>
          <w:szCs w:val="24"/>
        </w:rPr>
        <w:t>the</w:t>
      </w:r>
      <w:r w:rsidR="001A725E" w:rsidRPr="00252BF7">
        <w:rPr>
          <w:rFonts w:ascii="Times New Roman" w:hAnsi="Times New Roman" w:cs="Times New Roman"/>
          <w:sz w:val="24"/>
          <w:szCs w:val="24"/>
        </w:rPr>
        <w:t xml:space="preserve"> income </w:t>
      </w:r>
      <w:r w:rsidR="00CE3D34" w:rsidRPr="00252BF7">
        <w:rPr>
          <w:rFonts w:ascii="Times New Roman" w:hAnsi="Times New Roman" w:cs="Times New Roman"/>
          <w:sz w:val="24"/>
          <w:szCs w:val="24"/>
        </w:rPr>
        <w:t xml:space="preserve">standards </w:t>
      </w:r>
      <w:r w:rsidR="001A725E" w:rsidRPr="00252BF7">
        <w:rPr>
          <w:rFonts w:ascii="Times New Roman" w:hAnsi="Times New Roman" w:cs="Times New Roman"/>
          <w:sz w:val="24"/>
          <w:szCs w:val="24"/>
        </w:rPr>
        <w:t>are 41,000 to 58,000 (justice</w:t>
      </w:r>
      <w:r w:rsidR="001A725E" w:rsidRPr="00E20D0E">
        <w:rPr>
          <w:rFonts w:ascii="Times New Roman" w:hAnsi="Times New Roman" w:cs="Times New Roman"/>
          <w:sz w:val="24"/>
          <w:szCs w:val="24"/>
        </w:rPr>
        <w:t>.</w:t>
      </w:r>
      <w:r w:rsidR="00DE2846">
        <w:rPr>
          <w:rFonts w:ascii="Times New Roman" w:hAnsi="Times New Roman" w:cs="Times New Roman"/>
          <w:sz w:val="24"/>
          <w:szCs w:val="24"/>
        </w:rPr>
        <w:t>g</w:t>
      </w:r>
      <w:r w:rsidR="00CE3D34" w:rsidRPr="00E20D0E">
        <w:rPr>
          <w:rFonts w:ascii="Times New Roman" w:hAnsi="Times New Roman" w:cs="Times New Roman"/>
          <w:sz w:val="24"/>
          <w:szCs w:val="24"/>
        </w:rPr>
        <w:t>ov</w:t>
      </w:r>
      <w:r w:rsidR="00CE3D34" w:rsidRPr="00252BF7">
        <w:rPr>
          <w:rFonts w:ascii="Times New Roman" w:hAnsi="Times New Roman" w:cs="Times New Roman"/>
          <w:sz w:val="24"/>
          <w:szCs w:val="24"/>
        </w:rPr>
        <w:t>.</w:t>
      </w:r>
      <w:r w:rsidR="001A725E" w:rsidRPr="00252BF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52BF7" w:rsidRPr="00252BF7" w:rsidRDefault="001A725E" w:rsidP="00252BF7">
      <w:pPr>
        <w:autoSpaceDE w:val="0"/>
        <w:autoSpaceDN w:val="0"/>
        <w:adjustRightInd w:val="0"/>
        <w:spacing w:before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2BF7">
        <w:rPr>
          <w:rFonts w:ascii="Times New Roman" w:hAnsi="Times New Roman" w:cs="Times New Roman"/>
          <w:sz w:val="24"/>
          <w:szCs w:val="24"/>
        </w:rPr>
        <w:t xml:space="preserve">Andy’s </w:t>
      </w:r>
      <w:r w:rsidRPr="00DE2846">
        <w:rPr>
          <w:rFonts w:ascii="Times New Roman" w:hAnsi="Times New Roman" w:cs="Times New Roman"/>
          <w:sz w:val="24"/>
          <w:szCs w:val="24"/>
        </w:rPr>
        <w:t>honesty</w:t>
      </w:r>
      <w:r w:rsidRPr="00252BF7">
        <w:rPr>
          <w:rFonts w:ascii="Times New Roman" w:hAnsi="Times New Roman" w:cs="Times New Roman"/>
          <w:sz w:val="24"/>
          <w:szCs w:val="24"/>
        </w:rPr>
        <w:t xml:space="preserve"> </w:t>
      </w:r>
      <w:r w:rsidR="00CE3D34" w:rsidRPr="00252BF7">
        <w:rPr>
          <w:rFonts w:ascii="Times New Roman" w:hAnsi="Times New Roman" w:cs="Times New Roman"/>
          <w:sz w:val="24"/>
          <w:szCs w:val="24"/>
        </w:rPr>
        <w:t xml:space="preserve">and actions </w:t>
      </w:r>
      <w:r w:rsidRPr="00252BF7">
        <w:rPr>
          <w:rFonts w:ascii="Times New Roman" w:hAnsi="Times New Roman" w:cs="Times New Roman"/>
          <w:sz w:val="24"/>
          <w:szCs w:val="24"/>
        </w:rPr>
        <w:t xml:space="preserve">would come into </w:t>
      </w:r>
      <w:r w:rsidR="00CE3D34" w:rsidRPr="00252BF7">
        <w:rPr>
          <w:rFonts w:ascii="Times New Roman" w:hAnsi="Times New Roman" w:cs="Times New Roman"/>
          <w:sz w:val="24"/>
          <w:szCs w:val="24"/>
        </w:rPr>
        <w:t xml:space="preserve">play, did he </w:t>
      </w:r>
      <w:r w:rsidR="00CE3D34" w:rsidRPr="00DE2846">
        <w:rPr>
          <w:rFonts w:ascii="Times New Roman" w:hAnsi="Times New Roman" w:cs="Times New Roman"/>
          <w:sz w:val="24"/>
          <w:szCs w:val="24"/>
        </w:rPr>
        <w:t>make</w:t>
      </w:r>
      <w:r w:rsidR="00CE3D34" w:rsidRPr="00252BF7">
        <w:rPr>
          <w:rFonts w:ascii="Times New Roman" w:hAnsi="Times New Roman" w:cs="Times New Roman"/>
          <w:sz w:val="24"/>
          <w:szCs w:val="24"/>
        </w:rPr>
        <w:t xml:space="preserve"> attempts to pay or were his unemployment the main reason</w:t>
      </w:r>
      <w:r w:rsidR="00643276" w:rsidRPr="00252BF7">
        <w:rPr>
          <w:rFonts w:ascii="Times New Roman" w:hAnsi="Times New Roman" w:cs="Times New Roman"/>
          <w:sz w:val="24"/>
          <w:szCs w:val="24"/>
        </w:rPr>
        <w:t xml:space="preserve"> along with his reduced income and his obligations that would not be discharged such as child support and student loans. The information in this </w:t>
      </w:r>
      <w:r w:rsidR="00643276" w:rsidRPr="00DE2846">
        <w:rPr>
          <w:rFonts w:ascii="Times New Roman" w:hAnsi="Times New Roman" w:cs="Times New Roman"/>
          <w:sz w:val="24"/>
          <w:szCs w:val="24"/>
        </w:rPr>
        <w:t>scenario</w:t>
      </w:r>
      <w:r w:rsidR="00643276" w:rsidRPr="00252BF7">
        <w:rPr>
          <w:rFonts w:ascii="Times New Roman" w:hAnsi="Times New Roman" w:cs="Times New Roman"/>
          <w:sz w:val="24"/>
          <w:szCs w:val="24"/>
        </w:rPr>
        <w:t xml:space="preserve"> was </w:t>
      </w:r>
      <w:r w:rsidR="00E20D0E">
        <w:rPr>
          <w:rFonts w:ascii="Times New Roman" w:hAnsi="Times New Roman" w:cs="Times New Roman"/>
          <w:sz w:val="24"/>
          <w:szCs w:val="24"/>
        </w:rPr>
        <w:t>unclear</w:t>
      </w:r>
      <w:r w:rsidR="00643276" w:rsidRPr="00252BF7">
        <w:rPr>
          <w:rFonts w:ascii="Times New Roman" w:hAnsi="Times New Roman" w:cs="Times New Roman"/>
          <w:sz w:val="24"/>
          <w:szCs w:val="24"/>
        </w:rPr>
        <w:t xml:space="preserve"> but if advising Andy by filing </w:t>
      </w:r>
      <w:r w:rsidR="00643276" w:rsidRPr="00DE2846">
        <w:rPr>
          <w:rFonts w:ascii="Times New Roman" w:hAnsi="Times New Roman" w:cs="Times New Roman"/>
          <w:sz w:val="24"/>
          <w:szCs w:val="24"/>
        </w:rPr>
        <w:t>chapter</w:t>
      </w:r>
      <w:r w:rsidR="00643276" w:rsidRPr="00252BF7">
        <w:rPr>
          <w:rFonts w:ascii="Times New Roman" w:hAnsi="Times New Roman" w:cs="Times New Roman"/>
          <w:sz w:val="24"/>
          <w:szCs w:val="24"/>
        </w:rPr>
        <w:t xml:space="preserve"> 7 would not </w:t>
      </w:r>
      <w:r w:rsidR="00643276" w:rsidRPr="00DE2846">
        <w:rPr>
          <w:rFonts w:ascii="Times New Roman" w:hAnsi="Times New Roman" w:cs="Times New Roman"/>
          <w:sz w:val="24"/>
          <w:szCs w:val="24"/>
        </w:rPr>
        <w:t>relieve</w:t>
      </w:r>
      <w:r w:rsidR="00643276" w:rsidRPr="00252BF7">
        <w:rPr>
          <w:rFonts w:ascii="Times New Roman" w:hAnsi="Times New Roman" w:cs="Times New Roman"/>
          <w:sz w:val="24"/>
          <w:szCs w:val="24"/>
        </w:rPr>
        <w:t xml:space="preserve"> him of the education loan debt and child support obligation</w:t>
      </w:r>
      <w:r w:rsidR="00252BF7" w:rsidRPr="00252BF7">
        <w:rPr>
          <w:rFonts w:ascii="Times New Roman" w:hAnsi="Times New Roman" w:cs="Times New Roman"/>
          <w:sz w:val="24"/>
          <w:szCs w:val="24"/>
        </w:rPr>
        <w:t>.</w:t>
      </w:r>
      <w:r w:rsidR="00252BF7" w:rsidRPr="00252BF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B23E8" w:rsidRPr="001B23E8" w:rsidRDefault="00A150BD" w:rsidP="00252BF7">
      <w:pPr>
        <w:autoSpaceDE w:val="0"/>
        <w:autoSpaceDN w:val="0"/>
        <w:adjustRightInd w:val="0"/>
        <w:spacing w:before="240" w:line="480" w:lineRule="auto"/>
        <w:rPr>
          <w:rFonts w:ascii="Thorndale for VST" w:hAnsi="Thorndale for VST" w:cs="Thorndale for VST"/>
          <w:sz w:val="24"/>
          <w:szCs w:val="24"/>
        </w:rPr>
      </w:pPr>
      <w:r>
        <w:lastRenderedPageBreak/>
        <w:t xml:space="preserve">— </w:t>
      </w:r>
    </w:p>
    <w:p w:rsidR="001B23E8" w:rsidRDefault="00252BF7" w:rsidP="00087329">
      <w:pPr>
        <w:spacing w:line="480" w:lineRule="auto"/>
        <w:ind w:firstLine="90"/>
        <w:rPr>
          <w:rFonts w:ascii="Thorndale for VST" w:hAnsi="Thorndale for VST" w:cs="Thorndale for VST"/>
          <w:sz w:val="24"/>
          <w:szCs w:val="24"/>
        </w:rPr>
      </w:pPr>
      <w:r>
        <w:rPr>
          <w:noProof/>
        </w:rPr>
        <w:drawing>
          <wp:inline distT="0" distB="0" distL="0" distR="0" wp14:anchorId="554ACDE9" wp14:editId="31CA4A39">
            <wp:extent cx="4429125" cy="3200400"/>
            <wp:effectExtent l="0" t="0" r="9525" b="0"/>
            <wp:docPr id="1" name="Picture 1" descr="Means test flowchart to determine whether a debtor can file for Chapter 7 bankruptcy, or will have to choose Chapter 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ans test flowchart to determine whether a debtor can file for Chapter 7 bankruptcy, or will have to choose Chapter 13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626" cy="320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E8" w:rsidRDefault="00E20D0E" w:rsidP="00087329">
      <w:pPr>
        <w:spacing w:line="480" w:lineRule="auto"/>
        <w:ind w:firstLine="9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 xml:space="preserve"> Suppose  using BAPCPA calculating </w:t>
      </w:r>
      <w:r w:rsidR="00252BF7">
        <w:rPr>
          <w:rFonts w:ascii="Thorndale for VST" w:hAnsi="Thorndale for VST" w:cs="Thorndale for VST"/>
          <w:sz w:val="24"/>
          <w:szCs w:val="24"/>
        </w:rPr>
        <w:t xml:space="preserve">Andy’s income </w:t>
      </w:r>
      <w:r w:rsidR="00DE2846">
        <w:rPr>
          <w:rFonts w:ascii="Thorndale for VST" w:hAnsi="Thorndale for VST" w:cs="Thorndale for VST"/>
          <w:sz w:val="24"/>
          <w:szCs w:val="24"/>
        </w:rPr>
        <w:t>are</w:t>
      </w:r>
      <w:r w:rsidR="00252BF7">
        <w:rPr>
          <w:rFonts w:ascii="Thorndale for VST" w:hAnsi="Thorndale for VST" w:cs="Thorndale for VST"/>
          <w:sz w:val="24"/>
          <w:szCs w:val="24"/>
        </w:rPr>
        <w:t xml:space="preserve"> 3</w:t>
      </w:r>
      <w:r>
        <w:rPr>
          <w:rFonts w:ascii="Thorndale for VST" w:hAnsi="Thorndale for VST" w:cs="Thorndale for VST"/>
          <w:sz w:val="24"/>
          <w:szCs w:val="24"/>
        </w:rPr>
        <w:t>, 333.00</w:t>
      </w:r>
      <w:r w:rsidR="00252BF7">
        <w:rPr>
          <w:rFonts w:ascii="Thorndale for VST" w:hAnsi="Thorndale for VST" w:cs="Thorndale for VST"/>
          <w:sz w:val="24"/>
          <w:szCs w:val="24"/>
        </w:rPr>
        <w:t xml:space="preserve"> per month – allowable </w:t>
      </w:r>
      <w:r>
        <w:rPr>
          <w:rFonts w:ascii="Thorndale for VST" w:hAnsi="Thorndale for VST" w:cs="Thorndale for VST"/>
          <w:sz w:val="24"/>
          <w:szCs w:val="24"/>
        </w:rPr>
        <w:t xml:space="preserve">expenses under the </w:t>
      </w:r>
      <w:r w:rsidRPr="00DE2846">
        <w:rPr>
          <w:rFonts w:ascii="Thorndale for VST" w:hAnsi="Thorndale for VST" w:cs="Thorndale for VST"/>
          <w:sz w:val="24"/>
          <w:szCs w:val="24"/>
        </w:rPr>
        <w:t>code</w:t>
      </w:r>
      <w:r>
        <w:rPr>
          <w:rFonts w:ascii="Thorndale for VST" w:hAnsi="Thorndale for VST" w:cs="Thorndale for VST"/>
          <w:sz w:val="24"/>
          <w:szCs w:val="24"/>
        </w:rPr>
        <w:t xml:space="preserve"> 1029.00 plus education loan amount </w:t>
      </w:r>
      <w:r w:rsidR="00DE2846">
        <w:rPr>
          <w:rFonts w:ascii="Thorndale for VST" w:hAnsi="Thorndale for VST" w:cs="Thorndale for VST"/>
          <w:sz w:val="24"/>
          <w:szCs w:val="24"/>
        </w:rPr>
        <w:t xml:space="preserve"> of approximately</w:t>
      </w:r>
      <w:r>
        <w:rPr>
          <w:rFonts w:ascii="Thorndale for VST" w:hAnsi="Thorndale for VST" w:cs="Thorndale for VST"/>
          <w:sz w:val="24"/>
          <w:szCs w:val="24"/>
        </w:rPr>
        <w:t xml:space="preserve"> 100.00 per month plus 300.00 child support plus </w:t>
      </w:r>
      <w:r w:rsidRPr="00DE2846">
        <w:rPr>
          <w:rFonts w:ascii="Thorndale for VST" w:hAnsi="Thorndale for VST" w:cs="Thorndale for VST"/>
          <w:sz w:val="24"/>
          <w:szCs w:val="24"/>
        </w:rPr>
        <w:t>housing</w:t>
      </w:r>
      <w:r>
        <w:rPr>
          <w:rFonts w:ascii="Thorndale for VST" w:hAnsi="Thorndale for VST" w:cs="Thorndale for VST"/>
          <w:sz w:val="24"/>
          <w:szCs w:val="24"/>
        </w:rPr>
        <w:t xml:space="preserve"> in Brevard county 1029.00, car 450.00, health insurance </w:t>
      </w:r>
      <w:r w:rsidRPr="00DE2846">
        <w:rPr>
          <w:rFonts w:ascii="Thorndale for VST" w:hAnsi="Thorndale for VST" w:cs="Thorndale for VST"/>
          <w:sz w:val="24"/>
          <w:szCs w:val="24"/>
        </w:rPr>
        <w:t>cost</w:t>
      </w:r>
      <w:r>
        <w:rPr>
          <w:rFonts w:ascii="Thorndale for VST" w:hAnsi="Thorndale for VST" w:cs="Thorndale for VST"/>
          <w:sz w:val="24"/>
          <w:szCs w:val="24"/>
        </w:rPr>
        <w:t xml:space="preserve">  200.00 = 3108  allowable expenses ;</w:t>
      </w:r>
    </w:p>
    <w:p w:rsidR="00E20D0E" w:rsidRDefault="00E20D0E" w:rsidP="00087329">
      <w:pPr>
        <w:spacing w:line="480" w:lineRule="auto"/>
        <w:ind w:firstLine="9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 xml:space="preserve">Current monthly of $3,330.00 – 3108.00= 222.00 x 60 = $13,320.00.  Andy would meet the means test and can </w:t>
      </w:r>
      <w:r w:rsidRPr="00DE2846">
        <w:rPr>
          <w:rFonts w:ascii="Thorndale for VST" w:hAnsi="Thorndale for VST" w:cs="Thorndale for VST"/>
          <w:sz w:val="24"/>
          <w:szCs w:val="24"/>
        </w:rPr>
        <w:t>proceed</w:t>
      </w:r>
      <w:r>
        <w:rPr>
          <w:rFonts w:ascii="Thorndale for VST" w:hAnsi="Thorndale for VST" w:cs="Thorndale for VST"/>
          <w:sz w:val="24"/>
          <w:szCs w:val="24"/>
        </w:rPr>
        <w:t xml:space="preserve"> because his unsecured debts are more than $13,320.00 his are $15,000 (SUO, 2013). </w:t>
      </w:r>
    </w:p>
    <w:p w:rsidR="00E20D0E" w:rsidRDefault="00E20D0E" w:rsidP="00087329">
      <w:pPr>
        <w:spacing w:line="480" w:lineRule="auto"/>
        <w:ind w:firstLine="90"/>
        <w:rPr>
          <w:rFonts w:ascii="Thorndale for VST" w:hAnsi="Thorndale for VST" w:cs="Thorndale for VST"/>
          <w:sz w:val="24"/>
          <w:szCs w:val="24"/>
        </w:rPr>
      </w:pPr>
    </w:p>
    <w:p w:rsidR="00E20D0E" w:rsidRDefault="00E20D0E" w:rsidP="00087329">
      <w:pPr>
        <w:spacing w:line="480" w:lineRule="auto"/>
        <w:ind w:firstLine="90"/>
        <w:rPr>
          <w:rFonts w:ascii="Thorndale for VST" w:hAnsi="Thorndale for VST" w:cs="Thorndale for VST"/>
          <w:sz w:val="24"/>
          <w:szCs w:val="24"/>
        </w:rPr>
      </w:pPr>
    </w:p>
    <w:p w:rsidR="00E20D0E" w:rsidRDefault="00E20D0E" w:rsidP="00087329">
      <w:pPr>
        <w:spacing w:line="480" w:lineRule="auto"/>
        <w:ind w:firstLine="90"/>
        <w:rPr>
          <w:rFonts w:ascii="Thorndale for VST" w:hAnsi="Thorndale for VST" w:cs="Thorndale for VST"/>
          <w:sz w:val="24"/>
          <w:szCs w:val="24"/>
        </w:rPr>
      </w:pPr>
    </w:p>
    <w:p w:rsidR="00E20D0E" w:rsidRDefault="00E20D0E" w:rsidP="00087329">
      <w:pPr>
        <w:spacing w:line="480" w:lineRule="auto"/>
        <w:ind w:firstLine="90"/>
        <w:rPr>
          <w:rFonts w:ascii="Thorndale for VST" w:hAnsi="Thorndale for VST" w:cs="Thorndale for VST"/>
          <w:sz w:val="24"/>
          <w:szCs w:val="24"/>
        </w:rPr>
      </w:pPr>
    </w:p>
    <w:p w:rsidR="00E20D0E" w:rsidRPr="00DE2846" w:rsidRDefault="00E20D0E" w:rsidP="00087329">
      <w:pPr>
        <w:spacing w:line="480" w:lineRule="auto"/>
        <w:ind w:firstLine="90"/>
        <w:rPr>
          <w:rFonts w:ascii="Thorndale for VST" w:hAnsi="Thorndale for VST" w:cs="Thorndale for VST"/>
          <w:b/>
          <w:sz w:val="24"/>
          <w:szCs w:val="24"/>
        </w:rPr>
      </w:pPr>
      <w:bookmarkStart w:id="0" w:name="_GoBack"/>
      <w:r w:rsidRPr="00DE2846">
        <w:rPr>
          <w:rFonts w:ascii="Thorndale for VST" w:hAnsi="Thorndale for VST" w:cs="Thorndale for VST"/>
          <w:b/>
          <w:sz w:val="24"/>
          <w:szCs w:val="24"/>
        </w:rPr>
        <w:lastRenderedPageBreak/>
        <w:t xml:space="preserve">Case Study 2: Insurance </w:t>
      </w:r>
    </w:p>
    <w:bookmarkEnd w:id="0"/>
    <w:p w:rsidR="00DE2846" w:rsidRDefault="00E20D0E" w:rsidP="00DE2846">
      <w:pPr>
        <w:autoSpaceDE w:val="0"/>
        <w:autoSpaceDN w:val="0"/>
        <w:adjustRightInd w:val="0"/>
        <w:spacing w:before="240" w:line="240" w:lineRule="auto"/>
        <w:ind w:firstLine="9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 xml:space="preserve">Franco as the owner of the Piazza Pub is liable for his employee accident having allowed Chris to </w:t>
      </w:r>
      <w:r w:rsidRPr="00DE2846">
        <w:rPr>
          <w:rFonts w:ascii="Thorndale for VST" w:hAnsi="Thorndale for VST" w:cs="Thorndale for VST"/>
          <w:sz w:val="24"/>
          <w:szCs w:val="24"/>
        </w:rPr>
        <w:t>drive</w:t>
      </w:r>
      <w:r>
        <w:rPr>
          <w:rFonts w:ascii="Thorndale for VST" w:hAnsi="Thorndale for VST" w:cs="Thorndale for VST"/>
          <w:sz w:val="24"/>
          <w:szCs w:val="24"/>
        </w:rPr>
        <w:t xml:space="preserve"> his personal vehicle on company time. The grounds for a lawsuit could be argued that </w:t>
      </w:r>
      <w:r w:rsidR="00DE2846">
        <w:rPr>
          <w:rFonts w:ascii="Thorndale for VST" w:hAnsi="Thorndale for VST" w:cs="Thorndale for VST"/>
          <w:sz w:val="24"/>
          <w:szCs w:val="24"/>
        </w:rPr>
        <w:t>Franco as manag</w:t>
      </w:r>
      <w:r w:rsidR="00DE2846" w:rsidRPr="00DE2846">
        <w:rPr>
          <w:rFonts w:ascii="Thorndale for VST" w:hAnsi="Thorndale for VST" w:cs="Thorndale for VST"/>
          <w:sz w:val="24"/>
          <w:szCs w:val="24"/>
        </w:rPr>
        <w:t>er</w:t>
      </w:r>
      <w:r w:rsidR="00DE2846">
        <w:rPr>
          <w:rFonts w:ascii="Thorndale for VST" w:hAnsi="Thorndale for VST" w:cs="Thorndale for VST"/>
          <w:sz w:val="24"/>
          <w:szCs w:val="24"/>
        </w:rPr>
        <w:t xml:space="preserve"> was</w:t>
      </w:r>
      <w:r>
        <w:rPr>
          <w:rFonts w:ascii="Thorndale for VST" w:hAnsi="Thorndale for VST" w:cs="Thorndale for VST"/>
          <w:sz w:val="24"/>
          <w:szCs w:val="24"/>
        </w:rPr>
        <w:t xml:space="preserve"> negligent in </w:t>
      </w:r>
      <w:r w:rsidR="00DE2846" w:rsidRPr="00DE2846">
        <w:rPr>
          <w:rFonts w:ascii="Thorndale for VST" w:hAnsi="Thorndale for VST" w:cs="Thorndale for VST"/>
          <w:sz w:val="24"/>
          <w:szCs w:val="24"/>
        </w:rPr>
        <w:t>loaning</w:t>
      </w:r>
      <w:r w:rsidR="00DE2846">
        <w:rPr>
          <w:rFonts w:ascii="Thorndale for VST" w:hAnsi="Thorndale for VST" w:cs="Thorndale for VST"/>
          <w:sz w:val="24"/>
          <w:szCs w:val="24"/>
        </w:rPr>
        <w:t xml:space="preserve"> the car</w:t>
      </w:r>
      <w:r>
        <w:rPr>
          <w:rFonts w:ascii="Thorndale for VST" w:hAnsi="Thorndale for VST" w:cs="Thorndale for VST"/>
          <w:sz w:val="24"/>
          <w:szCs w:val="24"/>
        </w:rPr>
        <w:t xml:space="preserve"> to a 17 year old with little experience. Franco should have known that the employee Chris </w:t>
      </w:r>
      <w:r w:rsidRPr="00DE2846">
        <w:rPr>
          <w:rFonts w:ascii="Thorndale for VST" w:hAnsi="Thorndale for VST" w:cs="Thorndale for VST"/>
          <w:sz w:val="24"/>
          <w:szCs w:val="24"/>
        </w:rPr>
        <w:t>was not trained</w:t>
      </w:r>
      <w:r w:rsidR="00DE2846" w:rsidRPr="00DE2846">
        <w:rPr>
          <w:rFonts w:ascii="Thorndale for VST" w:hAnsi="Thorndale for VST" w:cs="Thorndale for VST"/>
          <w:sz w:val="24"/>
          <w:szCs w:val="24"/>
        </w:rPr>
        <w:t>,</w:t>
      </w:r>
      <w:r>
        <w:rPr>
          <w:rFonts w:ascii="Thorndale for VST" w:hAnsi="Thorndale for VST" w:cs="Thorndale for VST"/>
          <w:sz w:val="24"/>
          <w:szCs w:val="24"/>
        </w:rPr>
        <w:t xml:space="preserve"> </w:t>
      </w:r>
      <w:r w:rsidRPr="00DE2846">
        <w:rPr>
          <w:rFonts w:ascii="Thorndale for VST" w:hAnsi="Thorndale for VST" w:cs="Thorndale for VST"/>
          <w:sz w:val="24"/>
          <w:szCs w:val="24"/>
        </w:rPr>
        <w:t>and</w:t>
      </w:r>
      <w:r>
        <w:rPr>
          <w:rFonts w:ascii="Thorndale for VST" w:hAnsi="Thorndale for VST" w:cs="Thorndale for VST"/>
          <w:sz w:val="24"/>
          <w:szCs w:val="24"/>
        </w:rPr>
        <w:t xml:space="preserve"> his lack of experience to drive the </w:t>
      </w:r>
      <w:r w:rsidR="00DE2846">
        <w:rPr>
          <w:rFonts w:ascii="Thorndale for VST" w:hAnsi="Thorndale for VST" w:cs="Thorndale for VST"/>
          <w:sz w:val="24"/>
          <w:szCs w:val="24"/>
        </w:rPr>
        <w:t>car</w:t>
      </w:r>
      <w:r>
        <w:rPr>
          <w:rFonts w:ascii="Thorndale for VST" w:hAnsi="Thorndale for VST" w:cs="Thorndale for VST"/>
          <w:sz w:val="24"/>
          <w:szCs w:val="24"/>
        </w:rPr>
        <w:t xml:space="preserve"> for “which liability would be imposed under the </w:t>
      </w:r>
      <w:r>
        <w:rPr>
          <w:rFonts w:ascii="Thorndale for VST" w:hAnsi="Thorndale for VST" w:cs="Thorndale for VST"/>
          <w:sz w:val="24"/>
          <w:szCs w:val="24"/>
        </w:rPr>
        <w:t xml:space="preserve">doctrine of </w:t>
      </w:r>
      <w:r>
        <w:rPr>
          <w:rFonts w:ascii="Thorndale for VST" w:hAnsi="Thorndale for VST" w:cs="Thorndale for VST"/>
          <w:i/>
          <w:iCs/>
          <w:sz w:val="24"/>
          <w:szCs w:val="24"/>
        </w:rPr>
        <w:t xml:space="preserve">respondeat </w:t>
      </w:r>
      <w:r w:rsidRPr="00DE2846">
        <w:rPr>
          <w:rFonts w:ascii="Thorndale for VST" w:hAnsi="Thorndale for VST" w:cs="Thorndale for VST"/>
          <w:i/>
          <w:iCs/>
          <w:sz w:val="24"/>
          <w:szCs w:val="24"/>
        </w:rPr>
        <w:t>superior</w:t>
      </w:r>
      <w:r>
        <w:rPr>
          <w:rFonts w:ascii="Thorndale for VST" w:hAnsi="Thorndale for VST" w:cs="Thorndale for VST"/>
          <w:sz w:val="24"/>
          <w:szCs w:val="24"/>
        </w:rPr>
        <w:t xml:space="preserve"> was a negligent act committed</w:t>
      </w:r>
      <w:r>
        <w:rPr>
          <w:rFonts w:ascii="Thorndale for VST" w:hAnsi="Thorndale for VST" w:cs="Thorndale for VST"/>
          <w:sz w:val="24"/>
          <w:szCs w:val="24"/>
        </w:rPr>
        <w:t xml:space="preserve"> within the scope of </w:t>
      </w:r>
      <w:r w:rsidRPr="00DE2846">
        <w:rPr>
          <w:rFonts w:ascii="Thorndale for VST" w:hAnsi="Thorndale for VST" w:cs="Thorndale for VST"/>
          <w:sz w:val="24"/>
          <w:szCs w:val="24"/>
        </w:rPr>
        <w:t>employment</w:t>
      </w:r>
      <w:r>
        <w:rPr>
          <w:rFonts w:ascii="Thorndale for VST" w:hAnsi="Thorndale for VST" w:cs="Thorndale for VST"/>
          <w:sz w:val="24"/>
          <w:szCs w:val="24"/>
        </w:rPr>
        <w:t>” (</w:t>
      </w:r>
      <w:r>
        <w:rPr>
          <w:rFonts w:ascii="Thorndale for VST" w:hAnsi="Thorndale for VST" w:cs="Thorndale for VST"/>
          <w:sz w:val="24"/>
          <w:szCs w:val="24"/>
        </w:rPr>
        <w:t>Twomey</w:t>
      </w:r>
      <w:r>
        <w:rPr>
          <w:rFonts w:ascii="Thorndale for VST" w:hAnsi="Thorndale for VST" w:cs="Thorndale for VST"/>
          <w:sz w:val="24"/>
          <w:szCs w:val="24"/>
        </w:rPr>
        <w:t>&amp; Jennings, 2013).</w:t>
      </w:r>
    </w:p>
    <w:p w:rsidR="00E20D0E" w:rsidRDefault="00E20D0E" w:rsidP="00DE2846">
      <w:pPr>
        <w:autoSpaceDE w:val="0"/>
        <w:autoSpaceDN w:val="0"/>
        <w:adjustRightInd w:val="0"/>
        <w:spacing w:before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E2846">
        <w:rPr>
          <w:rFonts w:ascii="Times New Roman" w:hAnsi="Times New Roman" w:cs="Times New Roman"/>
          <w:sz w:val="24"/>
          <w:szCs w:val="24"/>
        </w:rPr>
        <w:t xml:space="preserve"> </w:t>
      </w:r>
      <w:r w:rsidR="00DE2846" w:rsidRPr="00DE2846">
        <w:rPr>
          <w:rFonts w:ascii="Times New Roman" w:hAnsi="Times New Roman" w:cs="Times New Roman"/>
          <w:sz w:val="24"/>
          <w:szCs w:val="24"/>
        </w:rPr>
        <w:t>Respondeat superior is the doctrine that states that an employer is responsible for an employee. More precisely, it states that a master is liable for torts of its servants committed</w:t>
      </w:r>
      <w:r w:rsidR="00DE2846" w:rsidRPr="00DE2846">
        <w:rPr>
          <w:rFonts w:ascii="Times New Roman" w:hAnsi="Times New Roman" w:cs="Times New Roman"/>
          <w:sz w:val="24"/>
          <w:szCs w:val="24"/>
        </w:rPr>
        <w:t xml:space="preserve"> in the course of their service</w:t>
      </w:r>
      <w:r w:rsidR="00DE2846">
        <w:rPr>
          <w:rFonts w:ascii="Times New Roman" w:hAnsi="Times New Roman" w:cs="Times New Roman"/>
          <w:sz w:val="24"/>
          <w:szCs w:val="24"/>
        </w:rPr>
        <w:t xml:space="preserve"> or under the “Scope of Employment” (Greenwood, 2013) </w:t>
      </w:r>
    </w:p>
    <w:p w:rsidR="00DE2846" w:rsidRDefault="00DE2846" w:rsidP="00DE2846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2846">
        <w:rPr>
          <w:rFonts w:ascii="Times New Roman" w:hAnsi="Times New Roman" w:cs="Times New Roman"/>
          <w:sz w:val="24"/>
          <w:szCs w:val="24"/>
        </w:rPr>
        <w:t xml:space="preserve">Recommendations for Franco to reduce his liability for negligently lending of a vehicle he should: 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DE2846">
        <w:rPr>
          <w:rFonts w:ascii="Times New Roman" w:hAnsi="Times New Roman" w:cs="Times New Roman"/>
          <w:sz w:val="24"/>
          <w:szCs w:val="24"/>
        </w:rPr>
        <w:t>draft and enforce a vehicle policies that requires as the employer to have documentation on file.</w:t>
      </w:r>
      <w:r>
        <w:rPr>
          <w:rFonts w:ascii="Times New Roman" w:hAnsi="Times New Roman" w:cs="Times New Roman"/>
          <w:sz w:val="24"/>
          <w:szCs w:val="24"/>
        </w:rPr>
        <w:t xml:space="preserve"> (2)Obtain adequate insurance on all </w:t>
      </w:r>
      <w:r w:rsidRPr="00DE2846">
        <w:rPr>
          <w:rFonts w:ascii="Times New Roman" w:hAnsi="Times New Roman" w:cs="Times New Roman"/>
          <w:sz w:val="24"/>
          <w:szCs w:val="24"/>
        </w:rPr>
        <w:t>vehicles</w:t>
      </w:r>
      <w:r>
        <w:rPr>
          <w:rFonts w:ascii="Times New Roman" w:hAnsi="Times New Roman" w:cs="Times New Roman"/>
          <w:sz w:val="24"/>
          <w:szCs w:val="24"/>
        </w:rPr>
        <w:t xml:space="preserve">. (3) Ask your insurance agent about vehicle safety programs and make sure all employees attend (Twomey &amp; Jennings, 2013). </w:t>
      </w:r>
    </w:p>
    <w:p w:rsidR="00DE2846" w:rsidRDefault="00DE2846" w:rsidP="00DE2846">
      <w:pPr>
        <w:autoSpaceDE w:val="0"/>
        <w:autoSpaceDN w:val="0"/>
        <w:adjustRightInd w:val="0"/>
        <w:spacing w:before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2846" w:rsidRDefault="00DE2846" w:rsidP="00DE2846">
      <w:pPr>
        <w:autoSpaceDE w:val="0"/>
        <w:autoSpaceDN w:val="0"/>
        <w:adjustRightInd w:val="0"/>
        <w:spacing w:before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2846" w:rsidRDefault="00DE2846" w:rsidP="00DE2846">
      <w:pPr>
        <w:autoSpaceDE w:val="0"/>
        <w:autoSpaceDN w:val="0"/>
        <w:adjustRightInd w:val="0"/>
        <w:spacing w:before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2846" w:rsidRDefault="00DE2846" w:rsidP="00DE2846">
      <w:pPr>
        <w:autoSpaceDE w:val="0"/>
        <w:autoSpaceDN w:val="0"/>
        <w:adjustRightInd w:val="0"/>
        <w:spacing w:before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2846" w:rsidRDefault="00DE2846" w:rsidP="00DE2846">
      <w:pPr>
        <w:autoSpaceDE w:val="0"/>
        <w:autoSpaceDN w:val="0"/>
        <w:adjustRightInd w:val="0"/>
        <w:spacing w:before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2846" w:rsidRDefault="00DE2846" w:rsidP="00DE2846">
      <w:pPr>
        <w:autoSpaceDE w:val="0"/>
        <w:autoSpaceDN w:val="0"/>
        <w:adjustRightInd w:val="0"/>
        <w:spacing w:before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2846" w:rsidRDefault="00DE2846" w:rsidP="00DE2846">
      <w:pPr>
        <w:autoSpaceDE w:val="0"/>
        <w:autoSpaceDN w:val="0"/>
        <w:adjustRightInd w:val="0"/>
        <w:spacing w:before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2846" w:rsidRDefault="00DE2846" w:rsidP="00DE2846">
      <w:pPr>
        <w:autoSpaceDE w:val="0"/>
        <w:autoSpaceDN w:val="0"/>
        <w:adjustRightInd w:val="0"/>
        <w:spacing w:before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2846" w:rsidRDefault="00DE2846" w:rsidP="00DE2846">
      <w:pPr>
        <w:autoSpaceDE w:val="0"/>
        <w:autoSpaceDN w:val="0"/>
        <w:adjustRightInd w:val="0"/>
        <w:spacing w:before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2846" w:rsidRDefault="00DE2846" w:rsidP="00DE2846">
      <w:pPr>
        <w:autoSpaceDE w:val="0"/>
        <w:autoSpaceDN w:val="0"/>
        <w:adjustRightInd w:val="0"/>
        <w:spacing w:before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2846" w:rsidRDefault="00DE2846" w:rsidP="00DE2846">
      <w:pPr>
        <w:autoSpaceDE w:val="0"/>
        <w:autoSpaceDN w:val="0"/>
        <w:adjustRightInd w:val="0"/>
        <w:spacing w:before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2846" w:rsidRDefault="00DE2846" w:rsidP="00DE2846">
      <w:pPr>
        <w:autoSpaceDE w:val="0"/>
        <w:autoSpaceDN w:val="0"/>
        <w:adjustRightInd w:val="0"/>
        <w:spacing w:before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2846" w:rsidRDefault="00DE2846" w:rsidP="00DE2846">
      <w:pPr>
        <w:autoSpaceDE w:val="0"/>
        <w:autoSpaceDN w:val="0"/>
        <w:adjustRightInd w:val="0"/>
        <w:spacing w:before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2846" w:rsidRDefault="00DE2846" w:rsidP="00DE2846">
      <w:pPr>
        <w:autoSpaceDE w:val="0"/>
        <w:autoSpaceDN w:val="0"/>
        <w:adjustRightInd w:val="0"/>
        <w:spacing w:before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2846" w:rsidRDefault="00DE2846" w:rsidP="00DE2846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DE2846" w:rsidRPr="00DE2846" w:rsidRDefault="00DE2846" w:rsidP="00DE2846">
      <w:pPr>
        <w:autoSpaceDE w:val="0"/>
        <w:autoSpaceDN w:val="0"/>
        <w:adjustRightInd w:val="0"/>
        <w:spacing w:before="240" w:line="240" w:lineRule="auto"/>
        <w:ind w:left="1440"/>
        <w:jc w:val="center"/>
        <w:rPr>
          <w:rFonts w:ascii="Times New Roman" w:hAnsi="Times New Roman" w:cs="Times New Roman"/>
          <w:sz w:val="24"/>
          <w:szCs w:val="24"/>
          <w:u w:val="wave" w:color="CC99FF"/>
        </w:rPr>
      </w:pPr>
      <w:r w:rsidRPr="00DE2846">
        <w:rPr>
          <w:rFonts w:ascii="Times New Roman" w:hAnsi="Times New Roman" w:cs="Times New Roman"/>
          <w:sz w:val="24"/>
          <w:szCs w:val="24"/>
          <w:u w:val="wave" w:color="CC99FF"/>
        </w:rPr>
        <w:t>Reference</w:t>
      </w:r>
    </w:p>
    <w:p w:rsidR="00DE2846" w:rsidRPr="00DE2846" w:rsidRDefault="00DE2846" w:rsidP="00DE2846">
      <w:pPr>
        <w:autoSpaceDE w:val="0"/>
        <w:autoSpaceDN w:val="0"/>
        <w:adjustRightInd w:val="0"/>
        <w:spacing w:before="240" w:line="240" w:lineRule="auto"/>
        <w:ind w:left="1440"/>
        <w:jc w:val="center"/>
        <w:rPr>
          <w:rFonts w:ascii="Times New Roman" w:hAnsi="Times New Roman" w:cs="Times New Roman"/>
          <w:sz w:val="24"/>
          <w:szCs w:val="24"/>
          <w:u w:val="wave" w:color="CC99FF"/>
        </w:rPr>
      </w:pPr>
    </w:p>
    <w:p w:rsidR="00DE2846" w:rsidRPr="00DE2846" w:rsidRDefault="00DE2846" w:rsidP="00DE284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E2846">
        <w:rPr>
          <w:rStyle w:val="italic1"/>
          <w:rFonts w:ascii="Times New Roman" w:hAnsi="Times New Roman" w:cs="Times New Roman"/>
          <w:sz w:val="24"/>
          <w:szCs w:val="24"/>
        </w:rPr>
        <w:t>Daniel J.H. Greenwood - Hofstra People.</w:t>
      </w:r>
      <w:r w:rsidRPr="00DE28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8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2846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DE284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E2846">
        <w:rPr>
          <w:rFonts w:ascii="Times New Roman" w:hAnsi="Times New Roman" w:cs="Times New Roman"/>
          <w:sz w:val="24"/>
          <w:szCs w:val="24"/>
        </w:rPr>
        <w:t xml:space="preserve"> Retrieved from http://people.hofstra.edu/Daniel_J_Greenwood/Courses/Torts/RespondeatSuperior.ht</w:t>
      </w:r>
    </w:p>
    <w:p w:rsidR="0085484B" w:rsidRPr="00DE2846" w:rsidRDefault="00E20D0E" w:rsidP="00A15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2846">
        <w:rPr>
          <w:rFonts w:ascii="Times New Roman" w:hAnsi="Times New Roman" w:cs="Times New Roman"/>
          <w:sz w:val="24"/>
          <w:szCs w:val="24"/>
        </w:rPr>
        <w:t>H</w:t>
      </w:r>
      <w:r w:rsidR="00A150BD" w:rsidRPr="00DE2846">
        <w:rPr>
          <w:rFonts w:ascii="Times New Roman" w:hAnsi="Times New Roman" w:cs="Times New Roman"/>
          <w:sz w:val="24"/>
          <w:szCs w:val="24"/>
        </w:rPr>
        <w:t>ttp://www.justice.gov/ust/eo/bapcpa/meanstesting.htm</w:t>
      </w:r>
      <w:r w:rsidR="0085484B" w:rsidRPr="00DE2846">
        <w:rPr>
          <w:rFonts w:ascii="Times New Roman" w:hAnsi="Times New Roman" w:cs="Times New Roman"/>
          <w:sz w:val="24"/>
          <w:szCs w:val="24"/>
        </w:rPr>
        <w:t>References</w:t>
      </w:r>
    </w:p>
    <w:p w:rsidR="00A150BD" w:rsidRPr="00DE2846" w:rsidRDefault="00E20D0E" w:rsidP="00DE284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E2846">
        <w:rPr>
          <w:rStyle w:val="italic1"/>
          <w:rFonts w:ascii="Times New Roman" w:hAnsi="Times New Roman" w:cs="Times New Roman"/>
          <w:sz w:val="24"/>
          <w:szCs w:val="24"/>
        </w:rPr>
        <w:t>The Means Test In Bankruptcy—Is There A Presumption Of Abuse?</w:t>
      </w:r>
      <w:r w:rsidRPr="00DE28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8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2846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DE284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E2846">
        <w:rPr>
          <w:rFonts w:ascii="Times New Roman" w:hAnsi="Times New Roman" w:cs="Times New Roman"/>
          <w:sz w:val="24"/>
          <w:szCs w:val="24"/>
        </w:rPr>
        <w:t xml:space="preserve"> Retrieved from http://thismatter.com/money/credit/bankruptcy/chapter-7/means-test.htm</w:t>
      </w:r>
    </w:p>
    <w:p w:rsidR="00087329" w:rsidRPr="00DE2846" w:rsidRDefault="00087329" w:rsidP="0008732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E2846">
        <w:rPr>
          <w:rFonts w:ascii="Times New Roman" w:hAnsi="Times New Roman" w:cs="Times New Roman"/>
          <w:sz w:val="24"/>
          <w:szCs w:val="24"/>
        </w:rPr>
        <w:t>South University Online.</w:t>
      </w:r>
      <w:proofErr w:type="gramEnd"/>
      <w:r w:rsidRPr="00DE2846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DE2846">
        <w:rPr>
          <w:rStyle w:val="Emphasis"/>
          <w:rFonts w:ascii="Times New Roman" w:hAnsi="Times New Roman" w:cs="Times New Roman"/>
          <w:sz w:val="24"/>
          <w:szCs w:val="24"/>
        </w:rPr>
        <w:t xml:space="preserve">BUS 3055: Business Law for Commercial </w:t>
      </w:r>
      <w:r w:rsidR="00BB5C88" w:rsidRPr="00DE2846">
        <w:rPr>
          <w:rStyle w:val="Emphasis"/>
          <w:rFonts w:ascii="Times New Roman" w:hAnsi="Times New Roman" w:cs="Times New Roman"/>
          <w:sz w:val="24"/>
          <w:szCs w:val="24"/>
        </w:rPr>
        <w:t>Transactions:</w:t>
      </w:r>
      <w:r w:rsidR="00DE2846">
        <w:rPr>
          <w:rStyle w:val="Emphasis"/>
          <w:rFonts w:ascii="Times New Roman" w:hAnsi="Times New Roman" w:cs="Times New Roman"/>
          <w:sz w:val="24"/>
          <w:szCs w:val="24"/>
        </w:rPr>
        <w:t xml:space="preserve"> Week 4: Bankruptcy. </w:t>
      </w:r>
      <w:r w:rsidRPr="00DE2846">
        <w:rPr>
          <w:rFonts w:ascii="Times New Roman" w:hAnsi="Times New Roman" w:cs="Times New Roman"/>
          <w:sz w:val="24"/>
          <w:szCs w:val="24"/>
        </w:rPr>
        <w:t>Retrieved from myeclassonline.com</w:t>
      </w:r>
    </w:p>
    <w:p w:rsidR="00087329" w:rsidRPr="00DE2846" w:rsidRDefault="00087329" w:rsidP="001B23E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E2846">
        <w:rPr>
          <w:rFonts w:ascii="Times New Roman" w:hAnsi="Times New Roman" w:cs="Times New Roman"/>
          <w:sz w:val="24"/>
          <w:szCs w:val="24"/>
        </w:rPr>
        <w:t>Twomey, David P., Jennings</w:t>
      </w:r>
      <w:r w:rsidR="00BB5C88" w:rsidRPr="00DE2846">
        <w:rPr>
          <w:rFonts w:ascii="Times New Roman" w:hAnsi="Times New Roman" w:cs="Times New Roman"/>
          <w:sz w:val="24"/>
          <w:szCs w:val="24"/>
        </w:rPr>
        <w:t>, Marianne</w:t>
      </w:r>
      <w:r w:rsidRPr="00DE2846">
        <w:rPr>
          <w:rFonts w:ascii="Times New Roman" w:hAnsi="Times New Roman" w:cs="Times New Roman"/>
          <w:sz w:val="24"/>
          <w:szCs w:val="24"/>
        </w:rPr>
        <w:t xml:space="preserve"> M</w:t>
      </w:r>
      <w:proofErr w:type="gramStart"/>
      <w:r w:rsidRPr="00DE284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E2846">
        <w:rPr>
          <w:rFonts w:ascii="Times New Roman" w:hAnsi="Times New Roman" w:cs="Times New Roman"/>
          <w:sz w:val="24"/>
          <w:szCs w:val="24"/>
        </w:rPr>
        <w:t xml:space="preserve">  (2013-03-04). </w:t>
      </w:r>
      <w:r w:rsidRPr="00DE2846">
        <w:rPr>
          <w:rFonts w:ascii="Times New Roman" w:hAnsi="Times New Roman" w:cs="Times New Roman"/>
          <w:i/>
          <w:iCs/>
          <w:sz w:val="24"/>
          <w:szCs w:val="24"/>
        </w:rPr>
        <w:t>Anderson's Business Law and the Legal Environment, Comprehensive Volume, 22nd Edition</w:t>
      </w:r>
      <w:r w:rsidRPr="00DE28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2846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DE2846">
        <w:rPr>
          <w:rFonts w:ascii="Times New Roman" w:hAnsi="Times New Roman" w:cs="Times New Roman"/>
          <w:sz w:val="24"/>
          <w:szCs w:val="24"/>
        </w:rPr>
        <w:t xml:space="preserve"> Learning. Retrieved from &lt;vbk</w:t>
      </w:r>
      <w:proofErr w:type="gramStart"/>
      <w:r w:rsidRPr="00DE2846">
        <w:rPr>
          <w:rFonts w:ascii="Times New Roman" w:hAnsi="Times New Roman" w:cs="Times New Roman"/>
          <w:sz w:val="24"/>
          <w:szCs w:val="24"/>
        </w:rPr>
        <w:t>:9781285696683</w:t>
      </w:r>
      <w:proofErr w:type="gramEnd"/>
      <w:r w:rsidRPr="00DE2846">
        <w:rPr>
          <w:rFonts w:ascii="Times New Roman" w:hAnsi="Times New Roman" w:cs="Times New Roman"/>
          <w:sz w:val="24"/>
          <w:szCs w:val="24"/>
        </w:rPr>
        <w:t>#outline(25.3.5</w:t>
      </w:r>
    </w:p>
    <w:p w:rsidR="00087329" w:rsidRPr="00DE2846" w:rsidRDefault="00087329" w:rsidP="000873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87329" w:rsidRPr="00DE2846" w:rsidSect="00851151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C4" w:rsidRDefault="000B7BC4" w:rsidP="00851151">
      <w:pPr>
        <w:spacing w:line="240" w:lineRule="auto"/>
      </w:pPr>
      <w:r>
        <w:separator/>
      </w:r>
    </w:p>
  </w:endnote>
  <w:endnote w:type="continuationSeparator" w:id="0">
    <w:p w:rsidR="000B7BC4" w:rsidRDefault="000B7BC4" w:rsidP="00851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for VST">
    <w:altName w:val="Times New Roman"/>
    <w:panose1 w:val="02020603050405020304"/>
    <w:charset w:val="00"/>
    <w:family w:val="roman"/>
    <w:pitch w:val="variable"/>
    <w:sig w:usb0="00000287" w:usb1="000004E8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C4" w:rsidRDefault="000B7BC4" w:rsidP="00851151">
      <w:pPr>
        <w:spacing w:line="240" w:lineRule="auto"/>
      </w:pPr>
      <w:r>
        <w:separator/>
      </w:r>
    </w:p>
  </w:footnote>
  <w:footnote w:type="continuationSeparator" w:id="0">
    <w:p w:rsidR="000B7BC4" w:rsidRDefault="000B7BC4" w:rsidP="00851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51" w:rsidRPr="00ED230C" w:rsidRDefault="00BE757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CASE STUDIES WEEK 4</w:t>
    </w:r>
    <w:r w:rsidR="00851151" w:rsidRPr="00ED230C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851151" w:rsidRPr="00ED230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4328A6" w:rsidRPr="00ED230C">
      <w:rPr>
        <w:rFonts w:ascii="Times New Roman" w:hAnsi="Times New Roman" w:cs="Times New Roman"/>
        <w:sz w:val="24"/>
        <w:szCs w:val="24"/>
      </w:rPr>
      <w:fldChar w:fldCharType="begin"/>
    </w:r>
    <w:r w:rsidR="00ED230C" w:rsidRPr="00ED230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328A6" w:rsidRPr="00ED230C">
      <w:rPr>
        <w:rFonts w:ascii="Times New Roman" w:hAnsi="Times New Roman" w:cs="Times New Roman"/>
        <w:sz w:val="24"/>
        <w:szCs w:val="24"/>
      </w:rPr>
      <w:fldChar w:fldCharType="separate"/>
    </w:r>
    <w:r w:rsidR="00DE2846">
      <w:rPr>
        <w:rFonts w:ascii="Times New Roman" w:hAnsi="Times New Roman" w:cs="Times New Roman"/>
        <w:noProof/>
        <w:sz w:val="24"/>
        <w:szCs w:val="24"/>
      </w:rPr>
      <w:t>2</w:t>
    </w:r>
    <w:r w:rsidR="004328A6" w:rsidRPr="00ED230C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51" w:rsidRPr="00851151" w:rsidRDefault="007A4D3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</w:t>
    </w:r>
    <w:r w:rsidR="00270E5B">
      <w:rPr>
        <w:rFonts w:ascii="Times New Roman" w:hAnsi="Times New Roman" w:cs="Times New Roman"/>
        <w:sz w:val="24"/>
        <w:szCs w:val="24"/>
      </w:rPr>
      <w:t>d: CASE STUDIES WEEK 4</w:t>
    </w:r>
    <w:r w:rsidR="00851151" w:rsidRPr="00851151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851151" w:rsidRPr="00851151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4328A6" w:rsidRPr="00851151">
      <w:rPr>
        <w:rFonts w:ascii="Times New Roman" w:hAnsi="Times New Roman" w:cs="Times New Roman"/>
        <w:sz w:val="24"/>
        <w:szCs w:val="24"/>
      </w:rPr>
      <w:fldChar w:fldCharType="begin"/>
    </w:r>
    <w:r w:rsidR="00851151" w:rsidRPr="008511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328A6" w:rsidRPr="00851151">
      <w:rPr>
        <w:rFonts w:ascii="Times New Roman" w:hAnsi="Times New Roman" w:cs="Times New Roman"/>
        <w:sz w:val="24"/>
        <w:szCs w:val="24"/>
      </w:rPr>
      <w:fldChar w:fldCharType="separate"/>
    </w:r>
    <w:r w:rsidR="00DE2846">
      <w:rPr>
        <w:rFonts w:ascii="Times New Roman" w:hAnsi="Times New Roman" w:cs="Times New Roman"/>
        <w:noProof/>
        <w:sz w:val="24"/>
        <w:szCs w:val="24"/>
      </w:rPr>
      <w:t>1</w:t>
    </w:r>
    <w:r w:rsidR="004328A6" w:rsidRPr="0085115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7C9"/>
    <w:multiLevelType w:val="hybridMultilevel"/>
    <w:tmpl w:val="3780AA8A"/>
    <w:lvl w:ilvl="0" w:tplc="0868E79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F50259"/>
    <w:multiLevelType w:val="hybridMultilevel"/>
    <w:tmpl w:val="D01C5C9C"/>
    <w:lvl w:ilvl="0" w:tplc="FDE4B5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F6C26"/>
    <w:multiLevelType w:val="hybridMultilevel"/>
    <w:tmpl w:val="8EF86826"/>
    <w:lvl w:ilvl="0" w:tplc="E0B2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6856F1"/>
    <w:multiLevelType w:val="hybridMultilevel"/>
    <w:tmpl w:val="571426A0"/>
    <w:lvl w:ilvl="0" w:tplc="0868E79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51"/>
    <w:rsid w:val="00087329"/>
    <w:rsid w:val="000B7BC4"/>
    <w:rsid w:val="000D691C"/>
    <w:rsid w:val="000F3070"/>
    <w:rsid w:val="001A725E"/>
    <w:rsid w:val="001B23E8"/>
    <w:rsid w:val="0024354B"/>
    <w:rsid w:val="00252BF7"/>
    <w:rsid w:val="00270E5B"/>
    <w:rsid w:val="002814B0"/>
    <w:rsid w:val="002B4694"/>
    <w:rsid w:val="002D3302"/>
    <w:rsid w:val="002E3DF5"/>
    <w:rsid w:val="002F09C4"/>
    <w:rsid w:val="00304786"/>
    <w:rsid w:val="00387503"/>
    <w:rsid w:val="004328A6"/>
    <w:rsid w:val="0043423A"/>
    <w:rsid w:val="00436433"/>
    <w:rsid w:val="0044109E"/>
    <w:rsid w:val="004E2DAE"/>
    <w:rsid w:val="00510993"/>
    <w:rsid w:val="00562F84"/>
    <w:rsid w:val="005734B2"/>
    <w:rsid w:val="00634062"/>
    <w:rsid w:val="00643276"/>
    <w:rsid w:val="006715A5"/>
    <w:rsid w:val="00682C3A"/>
    <w:rsid w:val="00694ED1"/>
    <w:rsid w:val="006F0B25"/>
    <w:rsid w:val="00720FE2"/>
    <w:rsid w:val="00726962"/>
    <w:rsid w:val="00741BE7"/>
    <w:rsid w:val="007A4D34"/>
    <w:rsid w:val="007A7641"/>
    <w:rsid w:val="00851151"/>
    <w:rsid w:val="0085484B"/>
    <w:rsid w:val="00906FB1"/>
    <w:rsid w:val="00940532"/>
    <w:rsid w:val="00980E78"/>
    <w:rsid w:val="009B340B"/>
    <w:rsid w:val="00A026AC"/>
    <w:rsid w:val="00A03438"/>
    <w:rsid w:val="00A150BD"/>
    <w:rsid w:val="00AD6B91"/>
    <w:rsid w:val="00BB5C88"/>
    <w:rsid w:val="00BD447E"/>
    <w:rsid w:val="00BD6E3C"/>
    <w:rsid w:val="00BE757F"/>
    <w:rsid w:val="00C32428"/>
    <w:rsid w:val="00CE3D34"/>
    <w:rsid w:val="00CF62C1"/>
    <w:rsid w:val="00D13A83"/>
    <w:rsid w:val="00D23F43"/>
    <w:rsid w:val="00D46CF8"/>
    <w:rsid w:val="00D8450D"/>
    <w:rsid w:val="00DA7C4D"/>
    <w:rsid w:val="00DE2846"/>
    <w:rsid w:val="00E20D0E"/>
    <w:rsid w:val="00E43979"/>
    <w:rsid w:val="00E50FD9"/>
    <w:rsid w:val="00E71095"/>
    <w:rsid w:val="00E7276C"/>
    <w:rsid w:val="00ED0F9D"/>
    <w:rsid w:val="00ED230C"/>
    <w:rsid w:val="00F87196"/>
    <w:rsid w:val="00F9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79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1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15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511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15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5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34062"/>
    <w:rPr>
      <w:i/>
      <w:iCs/>
    </w:rPr>
  </w:style>
  <w:style w:type="paragraph" w:styleId="ListParagraph">
    <w:name w:val="List Paragraph"/>
    <w:basedOn w:val="Normal"/>
    <w:uiPriority w:val="34"/>
    <w:qFormat/>
    <w:rsid w:val="000873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50BD"/>
    <w:rPr>
      <w:color w:val="0000FF"/>
      <w:u w:val="single"/>
    </w:rPr>
  </w:style>
  <w:style w:type="character" w:customStyle="1" w:styleId="italic1">
    <w:name w:val="italic1"/>
    <w:basedOn w:val="DefaultParagraphFont"/>
    <w:rsid w:val="00E20D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79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1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15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511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15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5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34062"/>
    <w:rPr>
      <w:i/>
      <w:iCs/>
    </w:rPr>
  </w:style>
  <w:style w:type="paragraph" w:styleId="ListParagraph">
    <w:name w:val="List Paragraph"/>
    <w:basedOn w:val="Normal"/>
    <w:uiPriority w:val="34"/>
    <w:qFormat/>
    <w:rsid w:val="000873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50BD"/>
    <w:rPr>
      <w:color w:val="0000FF"/>
      <w:u w:val="single"/>
    </w:rPr>
  </w:style>
  <w:style w:type="character" w:customStyle="1" w:styleId="italic1">
    <w:name w:val="italic1"/>
    <w:basedOn w:val="DefaultParagraphFont"/>
    <w:rsid w:val="00E20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Management Corporation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Lassitter</dc:creator>
  <cp:lastModifiedBy>Owner</cp:lastModifiedBy>
  <cp:revision>5</cp:revision>
  <dcterms:created xsi:type="dcterms:W3CDTF">2013-09-22T15:59:00Z</dcterms:created>
  <dcterms:modified xsi:type="dcterms:W3CDTF">2013-09-22T20:55:00Z</dcterms:modified>
</cp:coreProperties>
</file>