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DE" w:rsidRDefault="00974DDE">
      <w:pPr>
        <w:rPr>
          <w:rFonts w:ascii="Arial" w:hAnsi="Arial" w:cs="Arial"/>
          <w:i/>
        </w:rPr>
      </w:pPr>
      <w:r w:rsidRPr="00D9092F">
        <w:rPr>
          <w:rFonts w:ascii="Arial" w:hAnsi="Arial" w:cs="Arial"/>
          <w:u w:val="single"/>
        </w:rPr>
        <w:t>Individual assignment #1</w:t>
      </w:r>
      <w:r w:rsidR="00C62B53" w:rsidRPr="00C62B53">
        <w:rPr>
          <w:rFonts w:ascii="Arial" w:hAnsi="Arial" w:cs="Arial"/>
          <w:i/>
        </w:rPr>
        <w:t xml:space="preserve">(due by 11pm, </w:t>
      </w:r>
      <w:r w:rsidR="003210D4">
        <w:rPr>
          <w:rFonts w:ascii="Arial" w:hAnsi="Arial" w:cs="Arial"/>
          <w:i/>
        </w:rPr>
        <w:t>24</w:t>
      </w:r>
      <w:r w:rsidR="00C62B53" w:rsidRPr="00C62B53">
        <w:rPr>
          <w:rFonts w:ascii="Arial" w:hAnsi="Arial" w:cs="Arial"/>
          <w:i/>
        </w:rPr>
        <w:t>/0</w:t>
      </w:r>
      <w:r w:rsidR="003210D4">
        <w:rPr>
          <w:rFonts w:ascii="Arial" w:hAnsi="Arial" w:cs="Arial"/>
          <w:i/>
        </w:rPr>
        <w:t>8</w:t>
      </w:r>
      <w:bookmarkStart w:id="0" w:name="_GoBack"/>
      <w:bookmarkEnd w:id="0"/>
      <w:r w:rsidR="00C62B53" w:rsidRPr="00C62B53">
        <w:rPr>
          <w:rFonts w:ascii="Arial" w:hAnsi="Arial" w:cs="Arial"/>
          <w:i/>
        </w:rPr>
        <w:t>/1</w:t>
      </w:r>
      <w:r w:rsidR="00C97D03">
        <w:rPr>
          <w:rFonts w:ascii="Arial" w:hAnsi="Arial" w:cs="Arial"/>
          <w:i/>
        </w:rPr>
        <w:t>4</w:t>
      </w:r>
      <w:r w:rsidR="00C62B53">
        <w:rPr>
          <w:rFonts w:ascii="Arial" w:hAnsi="Arial" w:cs="Arial"/>
          <w:i/>
        </w:rPr>
        <w:t xml:space="preserve"> via Moodle submission link</w:t>
      </w:r>
      <w:r w:rsidR="00C62B53" w:rsidRPr="00C62B53">
        <w:rPr>
          <w:rFonts w:ascii="Arial" w:hAnsi="Arial" w:cs="Arial"/>
          <w:i/>
        </w:rPr>
        <w:t>)</w:t>
      </w:r>
    </w:p>
    <w:p w:rsidR="007A1176" w:rsidRPr="00D42CC2" w:rsidRDefault="007A1176">
      <w:pPr>
        <w:rPr>
          <w:rFonts w:ascii="Arial" w:hAnsi="Arial" w:cs="Arial"/>
        </w:rPr>
      </w:pPr>
      <w:r w:rsidRPr="00553F0A">
        <w:rPr>
          <w:rFonts w:ascii="Arial" w:hAnsi="Arial" w:cs="Arial"/>
          <w:u w:val="single"/>
        </w:rPr>
        <w:t>Objectives:  Analysing role of auditing in company’s annual report / public disclosure.</w:t>
      </w:r>
    </w:p>
    <w:p w:rsidR="00974DDE" w:rsidRDefault="00974D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a public listed company </w:t>
      </w:r>
      <w:r w:rsidR="00D9092F">
        <w:rPr>
          <w:rFonts w:ascii="Arial" w:hAnsi="Arial" w:cs="Arial"/>
        </w:rPr>
        <w:t xml:space="preserve">(each student </w:t>
      </w:r>
      <w:r w:rsidR="0050064D">
        <w:rPr>
          <w:rFonts w:ascii="Arial" w:hAnsi="Arial" w:cs="Arial"/>
        </w:rPr>
        <w:t xml:space="preserve">is to submit </w:t>
      </w:r>
      <w:r w:rsidR="00D9092F">
        <w:rPr>
          <w:rFonts w:ascii="Arial" w:hAnsi="Arial" w:cs="Arial"/>
        </w:rPr>
        <w:t xml:space="preserve">his or her </w:t>
      </w:r>
      <w:r w:rsidR="0050064D">
        <w:rPr>
          <w:rFonts w:ascii="Arial" w:hAnsi="Arial" w:cs="Arial"/>
        </w:rPr>
        <w:t xml:space="preserve">assignment based on one of the listed companies as shown </w:t>
      </w:r>
      <w:r w:rsidR="004A1090">
        <w:rPr>
          <w:rFonts w:ascii="Arial" w:hAnsi="Arial" w:cs="Arial"/>
        </w:rPr>
        <w:t>from page 2</w:t>
      </w:r>
      <w:r w:rsidR="0050064D">
        <w:rPr>
          <w:rFonts w:ascii="Arial" w:hAnsi="Arial" w:cs="Arial"/>
        </w:rPr>
        <w:t>)</w:t>
      </w:r>
      <w:r>
        <w:rPr>
          <w:rFonts w:ascii="Arial" w:hAnsi="Arial" w:cs="Arial"/>
        </w:rPr>
        <w:t>with disclosures available from company’s website and answer the following:</w:t>
      </w:r>
    </w:p>
    <w:p w:rsidR="009B20A2" w:rsidRDefault="003C4326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74DDE">
        <w:rPr>
          <w:rFonts w:ascii="Arial" w:hAnsi="Arial" w:cs="Arial"/>
        </w:rPr>
        <w:t>Number of independent directors and executive directors in the audit committee</w:t>
      </w:r>
      <w:r w:rsidR="00131EC1">
        <w:rPr>
          <w:rFonts w:ascii="Arial" w:hAnsi="Arial" w:cs="Arial"/>
        </w:rPr>
        <w:t xml:space="preserve">or equivalent. </w:t>
      </w:r>
      <w:r w:rsidR="00D87505" w:rsidRPr="00974DDE">
        <w:rPr>
          <w:rFonts w:ascii="Arial" w:hAnsi="Arial" w:cs="Arial"/>
        </w:rPr>
        <w:t>(if any)</w:t>
      </w:r>
    </w:p>
    <w:p w:rsidR="00842ECB" w:rsidRDefault="00842ECB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Who is the chairman of the audit committee (if any)?</w:t>
      </w:r>
    </w:p>
    <w:p w:rsidR="003C4326" w:rsidRDefault="003C4326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74DDE">
        <w:rPr>
          <w:rFonts w:ascii="Arial" w:hAnsi="Arial" w:cs="Arial"/>
        </w:rPr>
        <w:t xml:space="preserve">How many number of meetings </w:t>
      </w:r>
      <w:r w:rsidR="00D87505" w:rsidRPr="00974DDE">
        <w:rPr>
          <w:rFonts w:ascii="Arial" w:hAnsi="Arial" w:cs="Arial"/>
        </w:rPr>
        <w:t xml:space="preserve">(if available) </w:t>
      </w:r>
      <w:r w:rsidRPr="00974DDE">
        <w:rPr>
          <w:rFonts w:ascii="Arial" w:hAnsi="Arial" w:cs="Arial"/>
        </w:rPr>
        <w:t>held by the audit committee during the year?</w:t>
      </w:r>
    </w:p>
    <w:p w:rsidR="003C4326" w:rsidRDefault="003C4326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74DDE">
        <w:rPr>
          <w:rFonts w:ascii="Arial" w:hAnsi="Arial" w:cs="Arial"/>
        </w:rPr>
        <w:t>Name of the external auditor?</w:t>
      </w:r>
    </w:p>
    <w:p w:rsidR="00951B5A" w:rsidRDefault="00951B5A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How much is the audit fee paid to the external auditor for the current year?</w:t>
      </w:r>
    </w:p>
    <w:p w:rsidR="00131EC1" w:rsidRDefault="00131EC1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What is the nature and amount of non-audit services provided by the external auditor?</w:t>
      </w:r>
    </w:p>
    <w:p w:rsidR="003C4326" w:rsidRDefault="007C4C00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74DDE">
        <w:rPr>
          <w:rFonts w:ascii="Arial" w:hAnsi="Arial" w:cs="Arial"/>
        </w:rPr>
        <w:t>When was the audit report issued?</w:t>
      </w:r>
    </w:p>
    <w:p w:rsidR="007C4C00" w:rsidRDefault="007C4C00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74DDE">
        <w:rPr>
          <w:rFonts w:ascii="Arial" w:hAnsi="Arial" w:cs="Arial"/>
        </w:rPr>
        <w:t>Briefly describe the structure / contents of the audit report</w:t>
      </w:r>
      <w:r w:rsidR="00D87505" w:rsidRPr="00974DDE">
        <w:rPr>
          <w:rFonts w:ascii="Arial" w:hAnsi="Arial" w:cs="Arial"/>
        </w:rPr>
        <w:t>.</w:t>
      </w:r>
    </w:p>
    <w:p w:rsidR="007C4C00" w:rsidRDefault="007C4C00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74DDE">
        <w:rPr>
          <w:rFonts w:ascii="Arial" w:hAnsi="Arial" w:cs="Arial"/>
        </w:rPr>
        <w:t xml:space="preserve">To whom </w:t>
      </w:r>
      <w:r w:rsidR="00131EC1">
        <w:rPr>
          <w:rFonts w:ascii="Arial" w:hAnsi="Arial" w:cs="Arial"/>
        </w:rPr>
        <w:t xml:space="preserve">(full name) </w:t>
      </w:r>
      <w:r w:rsidRPr="00974DDE">
        <w:rPr>
          <w:rFonts w:ascii="Arial" w:hAnsi="Arial" w:cs="Arial"/>
        </w:rPr>
        <w:t>the audit report is addressed to?</w:t>
      </w:r>
    </w:p>
    <w:p w:rsidR="00D87505" w:rsidRDefault="008E78E0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type of modification (if any) </w:t>
      </w:r>
      <w:r w:rsidR="00080204">
        <w:rPr>
          <w:rFonts w:ascii="Arial" w:hAnsi="Arial" w:cs="Arial"/>
        </w:rPr>
        <w:t>in the</w:t>
      </w:r>
      <w:r>
        <w:rPr>
          <w:rFonts w:ascii="Arial" w:hAnsi="Arial" w:cs="Arial"/>
        </w:rPr>
        <w:t xml:space="preserve"> audit report? </w:t>
      </w:r>
    </w:p>
    <w:p w:rsidR="002D1A84" w:rsidRDefault="002D1A84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What are the standards </w:t>
      </w:r>
      <w:r w:rsidR="00842ECB">
        <w:rPr>
          <w:rFonts w:ascii="Arial" w:hAnsi="Arial" w:cs="Arial"/>
        </w:rPr>
        <w:t xml:space="preserve">or legislations </w:t>
      </w:r>
      <w:r>
        <w:rPr>
          <w:rFonts w:ascii="Arial" w:hAnsi="Arial" w:cs="Arial"/>
        </w:rPr>
        <w:t>that management and auditor complied with as according to directors’ responsibility paragraph and auditor’s responsibility paragraph</w:t>
      </w:r>
      <w:r w:rsidR="00EA673F">
        <w:rPr>
          <w:rFonts w:ascii="Arial" w:hAnsi="Arial" w:cs="Arial"/>
        </w:rPr>
        <w:t xml:space="preserve"> in the audit report</w:t>
      </w:r>
      <w:r>
        <w:rPr>
          <w:rFonts w:ascii="Arial" w:hAnsi="Arial" w:cs="Arial"/>
        </w:rPr>
        <w:t xml:space="preserve">? </w:t>
      </w:r>
    </w:p>
    <w:p w:rsidR="00951B5A" w:rsidRDefault="009137D7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Which financial </w:t>
      </w:r>
      <w:r w:rsidR="003E5B6B">
        <w:rPr>
          <w:rFonts w:ascii="Arial" w:hAnsi="Arial" w:cs="Arial"/>
        </w:rPr>
        <w:t>statements do</w:t>
      </w:r>
      <w:r w:rsidR="00951B5A">
        <w:rPr>
          <w:rFonts w:ascii="Arial" w:hAnsi="Arial" w:cs="Arial"/>
        </w:rPr>
        <w:t>the auditor making explicit reference</w:t>
      </w:r>
      <w:r>
        <w:rPr>
          <w:rFonts w:ascii="Arial" w:hAnsi="Arial" w:cs="Arial"/>
        </w:rPr>
        <w:t xml:space="preserve"> to</w:t>
      </w:r>
      <w:r w:rsidR="005B6D93">
        <w:rPr>
          <w:rFonts w:ascii="Arial" w:hAnsi="Arial" w:cs="Arial"/>
        </w:rPr>
        <w:t xml:space="preserve"> in the audit report</w:t>
      </w:r>
      <w:r w:rsidR="00951B5A">
        <w:rPr>
          <w:rFonts w:ascii="Arial" w:hAnsi="Arial" w:cs="Arial"/>
        </w:rPr>
        <w:t>?</w:t>
      </w:r>
    </w:p>
    <w:p w:rsidR="00512B55" w:rsidRDefault="00512B55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What are the business and geographical segments (as according to AASB 8) of the company?</w:t>
      </w:r>
      <w:r w:rsidR="007B42E8">
        <w:rPr>
          <w:rFonts w:ascii="Arial" w:hAnsi="Arial" w:cs="Arial"/>
        </w:rPr>
        <w:t xml:space="preserve"> (only if applicable)</w:t>
      </w:r>
    </w:p>
    <w:p w:rsidR="007B42E8" w:rsidRDefault="007B42E8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Are there any inter-segment sales</w:t>
      </w:r>
      <w:r w:rsidR="001942DA">
        <w:rPr>
          <w:rFonts w:ascii="Arial" w:hAnsi="Arial" w:cs="Arial"/>
        </w:rPr>
        <w:t xml:space="preserve"> and what is the largest component of these inter-segment sales?</w:t>
      </w:r>
    </w:p>
    <w:p w:rsidR="00F00E89" w:rsidRDefault="00F00E89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How many subsidiaries or controlled entities does the company have</w:t>
      </w:r>
      <w:r w:rsidR="007F505E">
        <w:rPr>
          <w:rFonts w:ascii="Arial" w:hAnsi="Arial" w:cs="Arial"/>
        </w:rPr>
        <w:t>?</w:t>
      </w:r>
    </w:p>
    <w:p w:rsidR="007F505E" w:rsidRDefault="007F505E" w:rsidP="00974DD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Briefly describe how would the information from question 13) to question 15) changes the extent of your audit works?</w:t>
      </w:r>
    </w:p>
    <w:p w:rsidR="00CD06CE" w:rsidRDefault="00CD06CE" w:rsidP="00CD06CE">
      <w:pPr>
        <w:rPr>
          <w:rFonts w:ascii="Arial" w:hAnsi="Arial" w:cs="Arial"/>
        </w:rPr>
      </w:pPr>
    </w:p>
    <w:p w:rsidR="006A1526" w:rsidRDefault="006A1526" w:rsidP="0050064D">
      <w:pPr>
        <w:rPr>
          <w:rFonts w:ascii="Arial" w:hAnsi="Arial" w:cs="Arial"/>
        </w:rPr>
      </w:pPr>
    </w:p>
    <w:p w:rsidR="0050064D" w:rsidRDefault="006A1526" w:rsidP="00500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Document updated: </w:t>
      </w:r>
      <w:r w:rsidR="00E34DC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 w:rsidR="00E34DC3">
        <w:rPr>
          <w:rFonts w:ascii="Arial" w:hAnsi="Arial" w:cs="Arial"/>
        </w:rPr>
        <w:fldChar w:fldCharType="separate"/>
      </w:r>
      <w:r w:rsidR="004C0244">
        <w:rPr>
          <w:rFonts w:ascii="Arial" w:hAnsi="Arial" w:cs="Arial"/>
          <w:noProof/>
        </w:rPr>
        <w:t>20 September 2014</w:t>
      </w:r>
      <w:r w:rsidR="00E34DC3"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461"/>
        <w:gridCol w:w="4244"/>
        <w:gridCol w:w="1671"/>
        <w:gridCol w:w="2866"/>
      </w:tblGrid>
      <w:tr w:rsidR="003E5553" w:rsidTr="003F19FE">
        <w:tc>
          <w:tcPr>
            <w:tcW w:w="461" w:type="dxa"/>
          </w:tcPr>
          <w:p w:rsidR="003E5553" w:rsidRDefault="003E5553" w:rsidP="0050064D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:rsidR="003E5553" w:rsidRDefault="003E5553" w:rsidP="00500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Company’s name</w:t>
            </w:r>
          </w:p>
        </w:tc>
        <w:tc>
          <w:tcPr>
            <w:tcW w:w="1671" w:type="dxa"/>
          </w:tcPr>
          <w:p w:rsidR="003E5553" w:rsidRDefault="008E78E0" w:rsidP="00566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Ticker used in ASX</w:t>
            </w:r>
          </w:p>
        </w:tc>
        <w:tc>
          <w:tcPr>
            <w:tcW w:w="2866" w:type="dxa"/>
          </w:tcPr>
          <w:p w:rsidR="003E5553" w:rsidRDefault="003E5553" w:rsidP="00566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name</w:t>
            </w:r>
          </w:p>
        </w:tc>
      </w:tr>
      <w:tr w:rsidR="003E5553" w:rsidRPr="00533244" w:rsidTr="003F19FE">
        <w:tc>
          <w:tcPr>
            <w:tcW w:w="461" w:type="dxa"/>
          </w:tcPr>
          <w:p w:rsidR="003E5553" w:rsidRPr="00533244" w:rsidRDefault="003E5553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1</w:t>
            </w:r>
          </w:p>
        </w:tc>
        <w:tc>
          <w:tcPr>
            <w:tcW w:w="4244" w:type="dxa"/>
          </w:tcPr>
          <w:p w:rsidR="003E5553" w:rsidRPr="00533244" w:rsidRDefault="008E78E0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Astro Japan Property Group</w:t>
            </w:r>
          </w:p>
        </w:tc>
        <w:tc>
          <w:tcPr>
            <w:tcW w:w="1671" w:type="dxa"/>
          </w:tcPr>
          <w:p w:rsidR="003E5553" w:rsidRPr="00533244" w:rsidRDefault="008E78E0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AJA</w:t>
            </w:r>
          </w:p>
        </w:tc>
        <w:tc>
          <w:tcPr>
            <w:tcW w:w="2866" w:type="dxa"/>
          </w:tcPr>
          <w:p w:rsidR="003E5553" w:rsidRPr="00533244" w:rsidRDefault="003E5553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Bandanna Energy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BND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Blackthorn Resources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BTR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Boom Logistics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BOL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5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Buccaneer Energy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BCC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6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Capral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CAA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7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Carabella Resources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CLR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8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Carnarvon Petroleum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CVN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50064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9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Central Petroleum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CTP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Ceramic Fuel Cells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CFU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11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Cockatoo Coal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COK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12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Coffey International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COF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13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Cokal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CKA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14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Collection House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CLH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Collins Foods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CKF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16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Dart Energy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DTE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17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Data#3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DTL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18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Doray Minerals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DRM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19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DWS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DWS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20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Elders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ELD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21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Elemental Minerals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ELM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22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Empire Oil &amp; Gas NL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EGO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23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Endeavour Mining Corporation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EVR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24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Energy Action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EAX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25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Equatorial Resources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EQX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26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Ethane Pipeline Income Fund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EPX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27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First Australian Resources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FAR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28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Flinders Mines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FMS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29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Focus Minerals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FML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30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Galaxy Resources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GXY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31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Gold Road Resources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GOR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32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Greenland Minerals &amp; Energy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GGG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33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Gryphon Minerals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GRY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34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Guildford Coal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GUF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35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Guinness Peat Group PLC.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GPG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36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Hillgrove Resources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HGO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37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Icon Energy Ltd/Australia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ICN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38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Ingenia Communities Group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INA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39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Integrated Research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IRI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40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Intrepid Mines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IAU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41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iProperty Group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IPP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42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Iron Ore Holdings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IOH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43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Jumbo Interactive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JIN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44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Korvest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KOV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45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McPhersons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MCP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46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Melbourne IT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MLB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47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MEO Australia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MEO</w:t>
            </w:r>
          </w:p>
        </w:tc>
        <w:tc>
          <w:tcPr>
            <w:tcW w:w="2866" w:type="dxa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1164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  <w:gridCol w:w="36"/>
        <w:gridCol w:w="36"/>
        <w:gridCol w:w="2866"/>
        <w:gridCol w:w="2866"/>
        <w:gridCol w:w="2866"/>
        <w:gridCol w:w="2866"/>
      </w:tblGrid>
      <w:tr w:rsidR="000E4AFB" w:rsidRPr="00533244" w:rsidTr="000E4AFB">
        <w:trPr>
          <w:tblCellSpacing w:w="0" w:type="dxa"/>
        </w:trPr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</w:tr>
      <w:tr w:rsidR="000E4AFB" w:rsidRPr="00533244" w:rsidTr="000E4AFB">
        <w:trPr>
          <w:tblCellSpacing w:w="0" w:type="dxa"/>
        </w:trPr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</w:tr>
      <w:tr w:rsidR="000E4AFB" w:rsidRPr="00533244" w:rsidTr="000E4AFB">
        <w:trPr>
          <w:tblCellSpacing w:w="0" w:type="dxa"/>
        </w:trPr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0E4AFB" w:rsidRPr="00533244" w:rsidRDefault="000E4AFB" w:rsidP="0050064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0E4AFB" w:rsidRPr="00533244" w:rsidRDefault="000E4AFB" w:rsidP="002E292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61"/>
        <w:gridCol w:w="4244"/>
        <w:gridCol w:w="1671"/>
        <w:gridCol w:w="2866"/>
      </w:tblGrid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48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Metgasco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MEL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49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Metminco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MNC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50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Millennium Minerals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MOY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Mincor Resources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MCR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Molopo Energy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MPO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Mortgage Choice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MOC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Neon Energy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NEN</w:t>
            </w:r>
          </w:p>
        </w:tc>
        <w:tc>
          <w:tcPr>
            <w:tcW w:w="2866" w:type="dxa"/>
          </w:tcPr>
          <w:p w:rsidR="00533244" w:rsidRPr="00533244" w:rsidRDefault="00533244" w:rsidP="008E2183">
            <w:pPr>
              <w:jc w:val="center"/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New Standard Energy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NSE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Nexus Energy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NXS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Nido Petroleum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NDO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Norfolk Group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NFK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NuCoal Resources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NCR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Oakton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OKN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Orocobre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ORE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Otto Energy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OEL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Pancontinental Oil &amp; Gas NL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PCL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Panoramic Resources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PAN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PanTerra Gold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PGI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Peninsula Energy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PEN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Pharmaxis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PXS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Phosphagenics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POH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PMI Gold Corporation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PVM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Prairie Downs Metals Limited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PDZ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Prima Biomed Ltd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PRR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533244" w:rsidRPr="00533244" w:rsidTr="002E292D">
        <w:tc>
          <w:tcPr>
            <w:tcW w:w="461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244" w:type="dxa"/>
            <w:vAlign w:val="bottom"/>
          </w:tcPr>
          <w:p w:rsidR="00533244" w:rsidRPr="00533244" w:rsidRDefault="00533244">
            <w:pPr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QRxPharma Ltd.</w:t>
            </w:r>
          </w:p>
        </w:tc>
        <w:tc>
          <w:tcPr>
            <w:tcW w:w="1671" w:type="dxa"/>
            <w:vAlign w:val="bottom"/>
          </w:tcPr>
          <w:p w:rsidR="00533244" w:rsidRPr="00533244" w:rsidRDefault="00533244" w:rsidP="00566EAB">
            <w:pPr>
              <w:jc w:val="center"/>
              <w:rPr>
                <w:rFonts w:ascii="Arial" w:hAnsi="Arial" w:cs="Arial"/>
              </w:rPr>
            </w:pPr>
            <w:r w:rsidRPr="00533244">
              <w:rPr>
                <w:rFonts w:ascii="Arial" w:hAnsi="Arial" w:cs="Arial"/>
              </w:rPr>
              <w:t>QRX</w:t>
            </w:r>
          </w:p>
        </w:tc>
        <w:tc>
          <w:tcPr>
            <w:tcW w:w="2866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</w:tr>
      <w:tr w:rsidR="008E2183" w:rsidRPr="00533244" w:rsidTr="002E292D">
        <w:tc>
          <w:tcPr>
            <w:tcW w:w="461" w:type="dxa"/>
          </w:tcPr>
          <w:p w:rsidR="008E2183" w:rsidRDefault="008E2183" w:rsidP="002E292D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vAlign w:val="bottom"/>
          </w:tcPr>
          <w:p w:rsidR="008E2183" w:rsidRPr="00533244" w:rsidRDefault="008E21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bottom"/>
          </w:tcPr>
          <w:p w:rsidR="008E2183" w:rsidRPr="00533244" w:rsidRDefault="008E2183" w:rsidP="008E2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8E2183" w:rsidRPr="00533244" w:rsidRDefault="008E2183" w:rsidP="008E2183">
            <w:pPr>
              <w:jc w:val="center"/>
              <w:rPr>
                <w:rFonts w:ascii="Arial" w:hAnsi="Arial" w:cs="Arial"/>
              </w:rPr>
            </w:pPr>
          </w:p>
        </w:tc>
      </w:tr>
      <w:tr w:rsidR="008E2183" w:rsidRPr="00533244" w:rsidTr="002E292D">
        <w:tc>
          <w:tcPr>
            <w:tcW w:w="461" w:type="dxa"/>
          </w:tcPr>
          <w:p w:rsidR="008E2183" w:rsidRDefault="008E2183" w:rsidP="002E292D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vAlign w:val="bottom"/>
          </w:tcPr>
          <w:p w:rsidR="008E2183" w:rsidRPr="00533244" w:rsidRDefault="008E21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bottom"/>
          </w:tcPr>
          <w:p w:rsidR="008E2183" w:rsidRPr="00533244" w:rsidRDefault="008E2183" w:rsidP="005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8E2183" w:rsidRPr="00533244" w:rsidRDefault="008E2183" w:rsidP="008E2183">
            <w:pPr>
              <w:jc w:val="center"/>
              <w:rPr>
                <w:rFonts w:ascii="Arial" w:hAnsi="Arial" w:cs="Arial"/>
              </w:rPr>
            </w:pPr>
          </w:p>
        </w:tc>
      </w:tr>
      <w:tr w:rsidR="008E2183" w:rsidRPr="00533244" w:rsidTr="002E292D">
        <w:tc>
          <w:tcPr>
            <w:tcW w:w="461" w:type="dxa"/>
          </w:tcPr>
          <w:p w:rsidR="008E2183" w:rsidRDefault="008E2183" w:rsidP="002E292D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vAlign w:val="bottom"/>
          </w:tcPr>
          <w:p w:rsidR="008E2183" w:rsidRDefault="008E21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bottom"/>
          </w:tcPr>
          <w:p w:rsidR="008E2183" w:rsidRDefault="008E2183" w:rsidP="005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8E2183" w:rsidRPr="008E2183" w:rsidRDefault="008E2183" w:rsidP="008E2183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929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0"/>
        <w:gridCol w:w="16"/>
        <w:gridCol w:w="34"/>
        <w:gridCol w:w="31"/>
        <w:gridCol w:w="19"/>
        <w:gridCol w:w="41"/>
        <w:gridCol w:w="9"/>
        <w:gridCol w:w="72"/>
        <w:gridCol w:w="3440"/>
        <w:gridCol w:w="3341"/>
        <w:gridCol w:w="839"/>
        <w:gridCol w:w="200"/>
        <w:gridCol w:w="427"/>
        <w:gridCol w:w="627"/>
        <w:gridCol w:w="50"/>
        <w:gridCol w:w="50"/>
      </w:tblGrid>
      <w:tr w:rsidR="00533244" w:rsidRPr="0050064D" w:rsidTr="004F1897">
        <w:trPr>
          <w:gridAfter w:val="9"/>
          <w:wAfter w:w="9046" w:type="dxa"/>
          <w:tblCellSpacing w:w="0" w:type="dxa"/>
        </w:trPr>
        <w:tc>
          <w:tcPr>
            <w:tcW w:w="50" w:type="dxa"/>
          </w:tcPr>
          <w:p w:rsidR="00533244" w:rsidRPr="00533244" w:rsidRDefault="00533244" w:rsidP="002E292D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</w:tcPr>
          <w:p w:rsidR="00533244" w:rsidRPr="0050064D" w:rsidRDefault="00533244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533244" w:rsidRPr="0050064D" w:rsidRDefault="00533244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533244" w:rsidRPr="0050064D" w:rsidRDefault="00533244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533244" w:rsidRPr="0050064D" w:rsidRDefault="00533244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F1897" w:rsidRPr="0050064D" w:rsidTr="004F1897">
        <w:trPr>
          <w:gridBefore w:val="1"/>
          <w:wBefore w:w="50" w:type="dxa"/>
          <w:tblCellSpacing w:w="0" w:type="dxa"/>
        </w:trPr>
        <w:tc>
          <w:tcPr>
            <w:tcW w:w="7892" w:type="dxa"/>
            <w:gridSpan w:val="11"/>
          </w:tcPr>
          <w:p w:rsidR="004F1897" w:rsidRPr="00533244" w:rsidRDefault="004F1897" w:rsidP="002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suggested industries and names of big-cap companies / ASX tickers:</w:t>
            </w:r>
          </w:p>
        </w:tc>
        <w:tc>
          <w:tcPr>
            <w:tcW w:w="627" w:type="dxa"/>
            <w:gridSpan w:val="2"/>
            <w:vAlign w:val="center"/>
          </w:tcPr>
          <w:p w:rsidR="004F1897" w:rsidRPr="0050064D" w:rsidRDefault="004F1897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vAlign w:val="center"/>
          </w:tcPr>
          <w:p w:rsidR="004F1897" w:rsidRPr="0050064D" w:rsidRDefault="004F1897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4F1897" w:rsidRPr="0050064D" w:rsidRDefault="004F1897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4F1897" w:rsidRPr="0050064D" w:rsidRDefault="004F1897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F1897" w:rsidRPr="0050064D" w:rsidTr="004F1897">
        <w:trPr>
          <w:gridAfter w:val="9"/>
          <w:wAfter w:w="9046" w:type="dxa"/>
          <w:tblCellSpacing w:w="0" w:type="dxa"/>
        </w:trPr>
        <w:tc>
          <w:tcPr>
            <w:tcW w:w="50" w:type="dxa"/>
          </w:tcPr>
          <w:p w:rsidR="004F1897" w:rsidRPr="00533244" w:rsidRDefault="004F1897" w:rsidP="002E292D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</w:tcPr>
          <w:p w:rsidR="004F1897" w:rsidRPr="0050064D" w:rsidRDefault="004F1897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4F1897" w:rsidRPr="0050064D" w:rsidRDefault="004F1897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4F1897" w:rsidRPr="0050064D" w:rsidRDefault="004F1897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4F1897" w:rsidRPr="0050064D" w:rsidRDefault="004F1897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F1897" w:rsidRPr="0050064D" w:rsidTr="004F1897">
        <w:trPr>
          <w:gridAfter w:val="6"/>
          <w:wAfter w:w="2193" w:type="dxa"/>
          <w:trHeight w:hRule="exact" w:val="288"/>
          <w:tblCellSpacing w:w="0" w:type="dxa"/>
        </w:trPr>
        <w:tc>
          <w:tcPr>
            <w:tcW w:w="50" w:type="dxa"/>
          </w:tcPr>
          <w:p w:rsidR="002E292D" w:rsidRPr="00533244" w:rsidRDefault="002E292D" w:rsidP="002E292D">
            <w:pPr>
              <w:rPr>
                <w:rFonts w:ascii="Arial" w:hAnsi="Arial" w:cs="Arial"/>
              </w:rPr>
            </w:pPr>
          </w:p>
        </w:tc>
        <w:tc>
          <w:tcPr>
            <w:tcW w:w="66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5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1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781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Automobiles &amp; Components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FWD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Corporation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Pacifica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Adelaide Bank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 Bank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Bendigo Bank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of Queensland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Bank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Macquarie Bank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Australia Bank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 Bank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Suncorp- Metway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WBC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Westpac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7"/>
          <w:wAfter w:w="553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Capital Goods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Alesco Corporation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BKN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Bradken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 Logistics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Coates Hire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CRG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Crane Group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CSR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CSR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Downer EDI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GWT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 International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Hills Industries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Leighton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Macmahon Holdings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MXI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Maxitrans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Group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Wesfarmers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Commercial Services &amp; Supplies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Brambles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Cabcharge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Coffey International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Campbell Brothers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CXP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Express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PMP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PMP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PRG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Programmed Maintenance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RHD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 Human Directions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RHT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Resonance Health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 Global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SLM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Salmat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SPT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Spotless Group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TPI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Transpacific Industries Group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TSE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Transfield Services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Consumer Durables &amp; Apparel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BBG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Billabong International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Funtastic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Gale Pacific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GUD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GUD Holdings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Consumer Services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A.B.C. Learning Centres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Aristocrat Leisure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FLT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Centre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IVC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InvoCare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Tabcorp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Tattersall's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UniTAB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Webjet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Diversified Financials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ASX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ASX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AUW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Wealth Management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Babcock &amp; Brown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CCP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Corp Group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CGF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Challenger Financial Services Group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Financial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ETR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Etrade Australia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GTP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Southern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HGI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Henderson Group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 Hall Int.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IOOF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Perpetual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Investments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SFE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SFE Corporation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H. Soul Pattinson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 Energy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AWE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Worldwide Exploration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AZZ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Antares Energy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CEY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Coal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CTX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Caltex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 Coal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HDR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Hardman Resources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Mosaic Oil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 Energy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 Search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 Oil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 Oil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WorleyParsons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WPL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Woodside Petroleum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&amp; Staples Retailing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AWB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AWB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MTS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Metcash</w:t>
            </w:r>
          </w:p>
        </w:tc>
      </w:tr>
      <w:tr w:rsidR="002E292D" w:rsidRPr="0050064D" w:rsidTr="004F1897">
        <w:trPr>
          <w:gridAfter w:val="4"/>
          <w:wAfter w:w="1154" w:type="dxa"/>
          <w:trHeight w:hRule="exact" w:val="288"/>
          <w:tblCellSpacing w:w="0" w:type="dxa"/>
        </w:trPr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" w:type="dxa"/>
            <w:gridSpan w:val="2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512" w:type="dxa"/>
            <w:gridSpan w:val="2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WOW</w:t>
            </w:r>
          </w:p>
        </w:tc>
        <w:tc>
          <w:tcPr>
            <w:tcW w:w="4380" w:type="dxa"/>
            <w:gridSpan w:val="3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Woolworths</w:t>
            </w:r>
          </w:p>
        </w:tc>
      </w:tr>
    </w:tbl>
    <w:p w:rsidR="002E292D" w:rsidRDefault="002E292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  <w:gridCol w:w="36"/>
        <w:gridCol w:w="36"/>
        <w:gridCol w:w="3409"/>
        <w:gridCol w:w="3276"/>
      </w:tblGrid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Beverage &amp; Tobacco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Agricultural Co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Burns, Philp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Coca-Cola Amatil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CHQ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Chiquita Brands South Pacific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Futuris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Foster's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 Nathan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MGW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McGuigan Simeon Wines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QCH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Queensland Cotton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Ridley Corp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Tandou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 Care Equipment &amp; Services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Ansell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API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Pharmaceutical Industries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Blackmores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COH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Cochlear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DCA Group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HSP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Healthscope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SYB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Symbion Health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Optiscan Imaging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Health Care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Ramsay Health Care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RMD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ResMed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SDI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SDI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Sonic Healthcare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VGH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 Group Holdings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AXA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AXA Asia Pacific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IAG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Australia Group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OMP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OAMPS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Promina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QBE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TWR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Tower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Adelaide Brighton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Amcor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Auspine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Alumina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AZR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Aztec Resources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Billiton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BKW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Brickworks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BLD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Bluescope Steel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CMR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Compass Resources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Croesus Mining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CSM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Consolidated Minerals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EQI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Equigold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Gunns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GRD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GRD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Gunson Resources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Highlands Pacific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Iluka Resources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JBM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Jubilee Mines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JHX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Hardie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KCN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Kingsgate Consolidated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Kimberley Diamond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KZL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Kagara Zinc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LHG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Lihir Gold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Lynas Corporation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Macarthur Coal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MCR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Mincor Resources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MGX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 Gibson Iron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MRE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Minara Resources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NCM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Newcrest Mining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NUF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Nufarm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OGD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Oceana Gold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Orica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OneSteel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OXR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Oxiana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PPX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PaperlinX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PSV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Perserverance Corp.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Rinker Group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Tinto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RSG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Resolute Mining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SGM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Sims Group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SGX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Sino Gold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Sally Malay Mining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SSX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Smorgon Steel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Symex Holdings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Timbercorp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TKR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Triako Resources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Troy Resources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Wattyl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ZFX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Zinifex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AEO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Austereo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AHD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Amalgamated Holdings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Austar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FXJ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Fairfax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 Corp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Publishing and Broadcasting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RUP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Rural Press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Cross Broadcasting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 Network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 Communications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 Network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Australian Newspapers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Pharmaceuticals &amp; Biotechnology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BioTech Capital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CCE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Cell Culture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PTD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Peptech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PXS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Pharmaxis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 Estate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ALZ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Australand Property Group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AVJ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AVJennings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CEQ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Equity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FKP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ILF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Real Estate Community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 Lease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MXG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Multiplex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WDC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Westfield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Retailing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ARP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 Corp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CDO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Colorado Gp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Jones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Fantastic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 Norman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HWI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Housewares International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JBH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 Hi Fi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Group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Miller's Retail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Noni B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PBG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Pacific Brands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Repco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Cheap Auto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 Shop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Software &amp; Services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BCA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Baycorp Advantage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CPU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Computershare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HPX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iiNET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Iress Market Technology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Research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MYO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MYOB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Oakton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Technology Hardware &amp; Equipment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Commander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 Systems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Telecommunication Services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 NZ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Telstra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ADZ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Adsteam Marine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AIX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Infrastructure Fund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Macquarie Airports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Macquarie Infrastructure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PRK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Corporation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Qantas Airways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Transurban Group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 Holdings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Utilities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AGL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AGL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AIHCA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Alinta Infrastructure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ALN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Alinta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Aust. Pipeline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BBI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Babcock &amp; Brown Infrastructure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CIFCA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Challenger Infrastructure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GasNet Australia</w:t>
            </w:r>
          </w:p>
        </w:tc>
      </w:tr>
      <w:tr w:rsidR="002E292D" w:rsidRPr="0050064D" w:rsidTr="002E292D">
        <w:trPr>
          <w:trHeight w:hRule="exact" w:val="288"/>
          <w:tblCellSpacing w:w="0" w:type="dxa"/>
        </w:trPr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E292D" w:rsidRPr="0050064D" w:rsidRDefault="002E292D" w:rsidP="0050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GDY</w:t>
            </w:r>
          </w:p>
        </w:tc>
        <w:tc>
          <w:tcPr>
            <w:tcW w:w="0" w:type="auto"/>
            <w:vAlign w:val="bottom"/>
          </w:tcPr>
          <w:p w:rsidR="002E292D" w:rsidRDefault="002E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Geodynamics</w:t>
            </w:r>
          </w:p>
        </w:tc>
      </w:tr>
    </w:tbl>
    <w:p w:rsidR="0050064D" w:rsidRPr="0050064D" w:rsidRDefault="0050064D" w:rsidP="0050064D">
      <w:pPr>
        <w:rPr>
          <w:rFonts w:ascii="Arial" w:hAnsi="Arial" w:cs="Arial"/>
        </w:rPr>
      </w:pPr>
    </w:p>
    <w:sectPr w:rsidR="0050064D" w:rsidRPr="0050064D" w:rsidSect="00E34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6F" w:rsidRDefault="0036686F" w:rsidP="00F54DBB">
      <w:pPr>
        <w:spacing w:after="0" w:line="240" w:lineRule="auto"/>
      </w:pPr>
      <w:r>
        <w:separator/>
      </w:r>
    </w:p>
  </w:endnote>
  <w:endnote w:type="continuationSeparator" w:id="1">
    <w:p w:rsidR="0036686F" w:rsidRDefault="0036686F" w:rsidP="00F5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4C" w:rsidRDefault="0087204C">
    <w:pPr>
      <w:pStyle w:val="Footer"/>
      <w:rPr>
        <w:color w:val="000000" w:themeColor="text1"/>
        <w:sz w:val="24"/>
        <w:szCs w:val="24"/>
      </w:rPr>
    </w:pPr>
  </w:p>
  <w:p w:rsidR="0087204C" w:rsidRDefault="00E34DC3">
    <w:pPr>
      <w:pStyle w:val="Footer"/>
    </w:pPr>
    <w:r w:rsidRPr="00E34DC3">
      <w:rPr>
        <w:noProof/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8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<v:textbox style="mso-fit-shape-to-text:t">
            <w:txbxContent>
              <w:p w:rsidR="0087204C" w:rsidRDefault="00E34DC3">
                <w:pPr>
                  <w:pStyle w:val="Footer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87204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 xml:space="preserve"> PAGE  \* Arabic  \* MERGEFORMAT 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4C0244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5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34DC3">
      <w:rPr>
        <w:noProof/>
        <w:color w:val="4F81BD" w:themeColor="accent1"/>
        <w:lang w:val="en-GB" w:eastAsia="zh-TW"/>
      </w:rPr>
      <w:pict>
        <v:rect id="Rectangle 58" o:spid="_x0000_s4097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6F" w:rsidRDefault="0036686F" w:rsidP="00F54DBB">
      <w:pPr>
        <w:spacing w:after="0" w:line="240" w:lineRule="auto"/>
      </w:pPr>
      <w:r>
        <w:separator/>
      </w:r>
    </w:p>
  </w:footnote>
  <w:footnote w:type="continuationSeparator" w:id="1">
    <w:p w:rsidR="0036686F" w:rsidRDefault="0036686F" w:rsidP="00F5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1688"/>
    <w:multiLevelType w:val="hybridMultilevel"/>
    <w:tmpl w:val="201E8C7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4326"/>
    <w:rsid w:val="00080204"/>
    <w:rsid w:val="000D12C8"/>
    <w:rsid w:val="000E4AFB"/>
    <w:rsid w:val="00131EC1"/>
    <w:rsid w:val="0015207F"/>
    <w:rsid w:val="001942DA"/>
    <w:rsid w:val="002D1A84"/>
    <w:rsid w:val="002E292D"/>
    <w:rsid w:val="003174FF"/>
    <w:rsid w:val="003210D4"/>
    <w:rsid w:val="0036686F"/>
    <w:rsid w:val="003C4326"/>
    <w:rsid w:val="003E5553"/>
    <w:rsid w:val="003E5B6B"/>
    <w:rsid w:val="003F19FE"/>
    <w:rsid w:val="00440584"/>
    <w:rsid w:val="004A1090"/>
    <w:rsid w:val="004C0244"/>
    <w:rsid w:val="004F1897"/>
    <w:rsid w:val="0050064D"/>
    <w:rsid w:val="00512B55"/>
    <w:rsid w:val="00522563"/>
    <w:rsid w:val="00533244"/>
    <w:rsid w:val="00551123"/>
    <w:rsid w:val="00553F0A"/>
    <w:rsid w:val="00566EAB"/>
    <w:rsid w:val="00595D41"/>
    <w:rsid w:val="005B0299"/>
    <w:rsid w:val="005B16E9"/>
    <w:rsid w:val="005B6D93"/>
    <w:rsid w:val="006313D9"/>
    <w:rsid w:val="006A1526"/>
    <w:rsid w:val="006E5D50"/>
    <w:rsid w:val="0079335B"/>
    <w:rsid w:val="007A1176"/>
    <w:rsid w:val="007B42E8"/>
    <w:rsid w:val="007C4C00"/>
    <w:rsid w:val="007F505E"/>
    <w:rsid w:val="00842ECB"/>
    <w:rsid w:val="0087204C"/>
    <w:rsid w:val="008E2183"/>
    <w:rsid w:val="008E78E0"/>
    <w:rsid w:val="009137D7"/>
    <w:rsid w:val="00951B5A"/>
    <w:rsid w:val="00974DDE"/>
    <w:rsid w:val="009B20A2"/>
    <w:rsid w:val="00A61D7E"/>
    <w:rsid w:val="00A71A4E"/>
    <w:rsid w:val="00B938EE"/>
    <w:rsid w:val="00C62B53"/>
    <w:rsid w:val="00C97D03"/>
    <w:rsid w:val="00CD06CE"/>
    <w:rsid w:val="00CF6ABC"/>
    <w:rsid w:val="00D42CC2"/>
    <w:rsid w:val="00D56A86"/>
    <w:rsid w:val="00D87505"/>
    <w:rsid w:val="00D9092F"/>
    <w:rsid w:val="00E34DC3"/>
    <w:rsid w:val="00E36CF5"/>
    <w:rsid w:val="00EA673F"/>
    <w:rsid w:val="00EC3C9A"/>
    <w:rsid w:val="00F00E89"/>
    <w:rsid w:val="00F5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DE"/>
    <w:pPr>
      <w:ind w:left="720"/>
      <w:contextualSpacing/>
    </w:pPr>
  </w:style>
  <w:style w:type="table" w:styleId="TableGrid">
    <w:name w:val="Table Grid"/>
    <w:basedOn w:val="TableNormal"/>
    <w:uiPriority w:val="59"/>
    <w:rsid w:val="0050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006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BB"/>
  </w:style>
  <w:style w:type="paragraph" w:styleId="Footer">
    <w:name w:val="footer"/>
    <w:basedOn w:val="Normal"/>
    <w:link w:val="FooterChar"/>
    <w:uiPriority w:val="99"/>
    <w:unhideWhenUsed/>
    <w:rsid w:val="00F5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BB"/>
  </w:style>
  <w:style w:type="paragraph" w:styleId="NoSpacing">
    <w:name w:val="No Spacing"/>
    <w:link w:val="NoSpacingChar"/>
    <w:uiPriority w:val="1"/>
    <w:qFormat/>
    <w:rsid w:val="006A152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1526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DE"/>
    <w:pPr>
      <w:ind w:left="720"/>
      <w:contextualSpacing/>
    </w:pPr>
  </w:style>
  <w:style w:type="table" w:styleId="TableGrid">
    <w:name w:val="Table Grid"/>
    <w:basedOn w:val="TableNormal"/>
    <w:uiPriority w:val="59"/>
    <w:rsid w:val="0050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06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BB"/>
  </w:style>
  <w:style w:type="paragraph" w:styleId="Footer">
    <w:name w:val="footer"/>
    <w:basedOn w:val="Normal"/>
    <w:link w:val="FooterChar"/>
    <w:uiPriority w:val="99"/>
    <w:unhideWhenUsed/>
    <w:rsid w:val="00F54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BB"/>
  </w:style>
  <w:style w:type="paragraph" w:styleId="NoSpacing">
    <w:name w:val="No Spacing"/>
    <w:link w:val="NoSpacingChar"/>
    <w:uiPriority w:val="1"/>
    <w:qFormat/>
    <w:rsid w:val="006A152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1526"/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238F-A7CE-4897-8370-06CEB0F5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Suthar Computer</cp:lastModifiedBy>
  <cp:revision>4</cp:revision>
  <dcterms:created xsi:type="dcterms:W3CDTF">2014-08-02T19:59:00Z</dcterms:created>
  <dcterms:modified xsi:type="dcterms:W3CDTF">2014-09-20T05:18:00Z</dcterms:modified>
</cp:coreProperties>
</file>